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57107451" w:rsidR="000830E3" w:rsidRDefault="004F21AA" w:rsidP="004F21AA">
      <w:pPr>
        <w:pStyle w:val="Pagedecouverture"/>
        <w:rPr>
          <w:noProof/>
        </w:rPr>
      </w:pPr>
      <w:bookmarkStart w:id="0" w:name="LW_BM_COVERPAGE"/>
      <w:r>
        <w:rPr>
          <w:noProof/>
        </w:rPr>
        <w:pict w14:anchorId="08A15E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C997D36-162A-4C9B-9C5E-E35B7A2FDA90" style="width:455.25pt;height:548.25pt">
            <v:imagedata r:id="rId15" o:title=""/>
          </v:shape>
        </w:pict>
      </w:r>
    </w:p>
    <w:bookmarkEnd w:id="0"/>
    <w:p w14:paraId="2BAF3ADB" w14:textId="77777777" w:rsidR="000830E3" w:rsidRDefault="000830E3" w:rsidP="000830E3">
      <w:pPr>
        <w:rPr>
          <w:noProof/>
        </w:rPr>
        <w:sectPr w:rsidR="000830E3" w:rsidSect="004F21AA">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0791E5CE" w14:textId="77777777" w:rsidR="00FC0AF3" w:rsidRPr="006536D8" w:rsidRDefault="00FC0AF3" w:rsidP="00FC0AF3">
      <w:pPr>
        <w:pBdr>
          <w:top w:val="single" w:sz="4" w:space="1" w:color="auto"/>
          <w:left w:val="single" w:sz="4" w:space="4" w:color="auto"/>
          <w:bottom w:val="single" w:sz="4" w:space="17" w:color="auto"/>
          <w:right w:val="single" w:sz="4" w:space="4" w:color="auto"/>
        </w:pBdr>
        <w:rPr>
          <w:b/>
          <w:bCs/>
          <w:smallCaps/>
          <w:noProof/>
          <w:u w:val="single"/>
          <w:lang w:eastAsia="en-GB"/>
        </w:rPr>
      </w:pPr>
      <w:bookmarkStart w:id="1" w:name="_GoBack"/>
      <w:bookmarkEnd w:id="1"/>
      <w:r w:rsidRPr="08375EB0">
        <w:rPr>
          <w:b/>
          <w:bCs/>
          <w:smallCaps/>
          <w:noProof/>
          <w:u w:val="single"/>
          <w:lang w:eastAsia="en-GB"/>
        </w:rPr>
        <w:lastRenderedPageBreak/>
        <w:t>Abstract</w:t>
      </w:r>
    </w:p>
    <w:p w14:paraId="7FCB44DF" w14:textId="20DC0E35" w:rsidR="00D5162E" w:rsidRDefault="006547DC" w:rsidP="00FC0AF3">
      <w:pPr>
        <w:pBdr>
          <w:top w:val="single" w:sz="4" w:space="1" w:color="auto"/>
          <w:left w:val="single" w:sz="4" w:space="4" w:color="auto"/>
          <w:bottom w:val="single" w:sz="4" w:space="17" w:color="auto"/>
          <w:right w:val="single" w:sz="4" w:space="4" w:color="auto"/>
        </w:pBdr>
        <w:rPr>
          <w:noProof/>
          <w:lang w:eastAsia="en-GB"/>
        </w:rPr>
      </w:pPr>
      <w:r w:rsidRPr="00B62BDD">
        <w:rPr>
          <w:noProof/>
          <w:lang w:eastAsia="en-GB"/>
        </w:rPr>
        <w:t xml:space="preserve">The </w:t>
      </w:r>
      <w:r w:rsidRPr="002C3483">
        <w:rPr>
          <w:noProof/>
          <w:lang w:eastAsia="en-GB"/>
        </w:rPr>
        <w:t>new</w:t>
      </w:r>
      <w:r w:rsidRPr="00B62BDD">
        <w:rPr>
          <w:noProof/>
          <w:lang w:eastAsia="en-GB"/>
        </w:rPr>
        <w:t xml:space="preserve"> Government has engaged in </w:t>
      </w:r>
      <w:r w:rsidRPr="002C3483">
        <w:rPr>
          <w:noProof/>
          <w:lang w:eastAsia="en-GB"/>
        </w:rPr>
        <w:t>intense</w:t>
      </w:r>
      <w:r w:rsidRPr="00B62BDD">
        <w:rPr>
          <w:noProof/>
          <w:lang w:eastAsia="en-GB"/>
        </w:rPr>
        <w:t xml:space="preserve"> reform efforts </w:t>
      </w:r>
      <w:r w:rsidRPr="002C3483">
        <w:rPr>
          <w:noProof/>
          <w:lang w:eastAsia="en-GB"/>
        </w:rPr>
        <w:t>to restore the rule of law</w:t>
      </w:r>
      <w:r w:rsidRPr="00B62BDD">
        <w:rPr>
          <w:noProof/>
          <w:lang w:eastAsia="en-GB"/>
        </w:rPr>
        <w:t xml:space="preserve">. </w:t>
      </w:r>
      <w:r w:rsidRPr="002C3483">
        <w:rPr>
          <w:noProof/>
          <w:lang w:eastAsia="en-GB"/>
        </w:rPr>
        <w:t>Following continued</w:t>
      </w:r>
      <w:r w:rsidRPr="00B62BDD">
        <w:rPr>
          <w:noProof/>
          <w:lang w:eastAsia="en-GB"/>
        </w:rPr>
        <w:t xml:space="preserve"> dialogue with the Commission under the Recovery and Resilience Plan and the general regime of conditionality, several legislative reforms </w:t>
      </w:r>
      <w:r w:rsidRPr="002C3483">
        <w:rPr>
          <w:noProof/>
          <w:lang w:eastAsia="en-GB"/>
        </w:rPr>
        <w:t>were advanced</w:t>
      </w:r>
      <w:r w:rsidRPr="00B62BDD">
        <w:rPr>
          <w:noProof/>
          <w:lang w:eastAsia="en-GB"/>
        </w:rPr>
        <w:t xml:space="preserve">. </w:t>
      </w:r>
      <w:r w:rsidRPr="002C3483">
        <w:rPr>
          <w:noProof/>
          <w:lang w:eastAsia="en-GB"/>
        </w:rPr>
        <w:t>Further</w:t>
      </w:r>
      <w:r w:rsidRPr="00B62BDD">
        <w:rPr>
          <w:noProof/>
          <w:lang w:eastAsia="en-GB"/>
        </w:rPr>
        <w:t xml:space="preserve"> constitutional amendments are being considered regarding the justice system, the anti-corruption framework and institutional</w:t>
      </w:r>
      <w:r>
        <w:rPr>
          <w:noProof/>
          <w:lang w:eastAsia="en-GB"/>
        </w:rPr>
        <w:t xml:space="preserve"> issues related to checks and balances.</w:t>
      </w:r>
    </w:p>
    <w:p w14:paraId="0329CD5B" w14:textId="1D71E3C0" w:rsidR="00FC0AF3" w:rsidRPr="006536D8" w:rsidRDefault="004B2A33" w:rsidP="00FC0AF3">
      <w:pPr>
        <w:pBdr>
          <w:top w:val="single" w:sz="4" w:space="1" w:color="auto"/>
          <w:left w:val="single" w:sz="4" w:space="4" w:color="auto"/>
          <w:bottom w:val="single" w:sz="4" w:space="17" w:color="auto"/>
          <w:right w:val="single" w:sz="4" w:space="4" w:color="auto"/>
        </w:pBdr>
        <w:rPr>
          <w:noProof/>
          <w:lang w:eastAsia="en-GB"/>
        </w:rPr>
      </w:pPr>
      <w:r>
        <w:rPr>
          <w:noProof/>
          <w:lang w:eastAsia="en-GB"/>
        </w:rPr>
        <w:t>T</w:t>
      </w:r>
      <w:r w:rsidRPr="00304EF6">
        <w:rPr>
          <w:noProof/>
          <w:lang w:eastAsia="en-GB"/>
        </w:rPr>
        <w:t>he National Judicial Council continued to exercise the powers it acquired through the 2023 judicial reform</w:t>
      </w:r>
      <w:r>
        <w:rPr>
          <w:noProof/>
          <w:lang w:eastAsia="en-GB"/>
        </w:rPr>
        <w:t xml:space="preserve">. </w:t>
      </w:r>
      <w:bookmarkStart w:id="2" w:name="_Hlk233829829"/>
      <w:r w:rsidR="00824527" w:rsidRPr="00824527">
        <w:rPr>
          <w:noProof/>
          <w:lang w:eastAsia="en-GB"/>
        </w:rPr>
        <w:t xml:space="preserve">In January 2026, the </w:t>
      </w:r>
      <w:r w:rsidR="00824527">
        <w:rPr>
          <w:noProof/>
          <w:lang w:eastAsia="en-GB"/>
        </w:rPr>
        <w:t>Council</w:t>
      </w:r>
      <w:r w:rsidR="00824527" w:rsidRPr="00824527">
        <w:rPr>
          <w:noProof/>
          <w:lang w:eastAsia="en-GB"/>
        </w:rPr>
        <w:t xml:space="preserve"> issued statements in defence of judges who faced undue pressure.</w:t>
      </w:r>
      <w:r w:rsidRPr="00A540FB" w:rsidDel="00304EF6">
        <w:rPr>
          <w:noProof/>
          <w:lang w:eastAsia="en-GB"/>
        </w:rPr>
        <w:t xml:space="preserve"> </w:t>
      </w:r>
      <w:bookmarkEnd w:id="2"/>
      <w:r w:rsidRPr="00A540FB">
        <w:rPr>
          <w:noProof/>
          <w:lang w:eastAsia="en-GB"/>
        </w:rPr>
        <w:t xml:space="preserve">The </w:t>
      </w:r>
      <w:r w:rsidRPr="00717822">
        <w:rPr>
          <w:i/>
          <w:iCs/>
          <w:noProof/>
          <w:lang w:eastAsia="en-GB"/>
        </w:rPr>
        <w:t>Kúria</w:t>
      </w:r>
      <w:r w:rsidRPr="00A540FB">
        <w:rPr>
          <w:noProof/>
          <w:lang w:eastAsia="en-GB"/>
        </w:rPr>
        <w:t xml:space="preserve"> continue</w:t>
      </w:r>
      <w:r>
        <w:rPr>
          <w:noProof/>
          <w:lang w:eastAsia="en-GB"/>
        </w:rPr>
        <w:t>d</w:t>
      </w:r>
      <w:r w:rsidRPr="00A540FB">
        <w:rPr>
          <w:noProof/>
          <w:lang w:eastAsia="en-GB"/>
        </w:rPr>
        <w:t xml:space="preserve"> to enforce uniformity of case law through its uniformity panel</w:t>
      </w:r>
      <w:r>
        <w:rPr>
          <w:noProof/>
          <w:lang w:eastAsia="en-GB"/>
        </w:rPr>
        <w:t>.</w:t>
      </w:r>
      <w:r w:rsidRPr="00A540FB" w:rsidDel="00304EF6">
        <w:rPr>
          <w:noProof/>
          <w:lang w:eastAsia="en-GB"/>
        </w:rPr>
        <w:t xml:space="preserve"> </w:t>
      </w:r>
      <w:r>
        <w:rPr>
          <w:noProof/>
          <w:lang w:eastAsia="en-GB"/>
        </w:rPr>
        <w:t>T</w:t>
      </w:r>
      <w:r w:rsidRPr="00A540FB">
        <w:rPr>
          <w:noProof/>
          <w:lang w:eastAsia="en-GB"/>
        </w:rPr>
        <w:t>he transparency of case allocation in lower-instance courts</w:t>
      </w:r>
      <w:r>
        <w:rPr>
          <w:noProof/>
          <w:lang w:eastAsia="en-GB"/>
        </w:rPr>
        <w:t xml:space="preserve"> has not been improved. </w:t>
      </w:r>
      <w:r w:rsidRPr="00BD569B">
        <w:rPr>
          <w:noProof/>
          <w:lang w:eastAsia="en-GB"/>
        </w:rPr>
        <w:t xml:space="preserve">The election procedure for the Prosecutor General, combined with the hierarchical structure of the prosecution service, gives rise to a risk of undue political interference in individual cases. </w:t>
      </w:r>
      <w:r w:rsidRPr="0031222F">
        <w:rPr>
          <w:noProof/>
          <w:lang w:eastAsia="en-GB"/>
        </w:rPr>
        <w:t xml:space="preserve">Salaries in the justice system have been increased further, while </w:t>
      </w:r>
      <w:r>
        <w:rPr>
          <w:noProof/>
          <w:lang w:eastAsia="en-GB"/>
        </w:rPr>
        <w:t>no</w:t>
      </w:r>
      <w:r w:rsidRPr="0031222F">
        <w:rPr>
          <w:noProof/>
          <w:lang w:eastAsia="en-GB"/>
        </w:rPr>
        <w:t xml:space="preserve"> measures </w:t>
      </w:r>
      <w:r>
        <w:rPr>
          <w:noProof/>
          <w:lang w:eastAsia="en-GB"/>
        </w:rPr>
        <w:t xml:space="preserve">have been taken </w:t>
      </w:r>
      <w:r w:rsidRPr="0031222F">
        <w:rPr>
          <w:noProof/>
          <w:lang w:eastAsia="en-GB"/>
        </w:rPr>
        <w:t>to ensure that such increases are carried out in a structured way</w:t>
      </w:r>
      <w:r>
        <w:rPr>
          <w:noProof/>
          <w:lang w:eastAsia="en-GB"/>
        </w:rPr>
        <w:t>.</w:t>
      </w:r>
      <w:r w:rsidRPr="0031222F" w:rsidDel="00304EF6">
        <w:rPr>
          <w:noProof/>
          <w:lang w:eastAsia="en-GB"/>
        </w:rPr>
        <w:t xml:space="preserve"> </w:t>
      </w:r>
      <w:r w:rsidRPr="00774525">
        <w:rPr>
          <w:noProof/>
          <w:lang w:eastAsia="en-GB"/>
        </w:rPr>
        <w:t>The justice system perform</w:t>
      </w:r>
      <w:r>
        <w:rPr>
          <w:noProof/>
          <w:lang w:eastAsia="en-GB"/>
        </w:rPr>
        <w:t>s</w:t>
      </w:r>
      <w:r w:rsidRPr="00774525">
        <w:rPr>
          <w:noProof/>
          <w:lang w:eastAsia="en-GB"/>
        </w:rPr>
        <w:t xml:space="preserve"> efficiently overall.</w:t>
      </w:r>
    </w:p>
    <w:p w14:paraId="75B7D467" w14:textId="7927C7BC" w:rsidR="00FC0AF3" w:rsidRPr="006536D8" w:rsidRDefault="00827620" w:rsidP="00FC0AF3">
      <w:pPr>
        <w:pBdr>
          <w:top w:val="single" w:sz="4" w:space="1" w:color="auto"/>
          <w:left w:val="single" w:sz="4" w:space="4" w:color="auto"/>
          <w:bottom w:val="single" w:sz="4" w:space="17" w:color="auto"/>
          <w:right w:val="single" w:sz="4" w:space="4" w:color="auto"/>
        </w:pBdr>
        <w:rPr>
          <w:noProof/>
          <w:lang w:eastAsia="en-GB"/>
        </w:rPr>
      </w:pPr>
      <w:r w:rsidRPr="00866F84">
        <w:rPr>
          <w:noProof/>
          <w:lang w:eastAsia="en-GB"/>
        </w:rPr>
        <w:t xml:space="preserve">New legislation adopted in June 2026 aims to tackle obstacles to the effective functioning of the Integrity Authority and the Anti-Corruption Task Force. The number of indictments for corruption-related crimes has generally increased but there has so far been no progress to establish a robust track record in cases of high-level corruption. </w:t>
      </w:r>
      <w:r w:rsidRPr="002C3483" w:rsidDel="00FB40DE">
        <w:rPr>
          <w:noProof/>
          <w:lang w:eastAsia="en-GB"/>
        </w:rPr>
        <w:t xml:space="preserve">Following Hungary’s request, </w:t>
      </w:r>
      <w:r w:rsidRPr="002C3483">
        <w:rPr>
          <w:noProof/>
          <w:lang w:eastAsia="en-GB"/>
        </w:rPr>
        <w:t xml:space="preserve">the Commission has confirmed Hungary’s participation in the </w:t>
      </w:r>
      <w:r w:rsidR="00AA405F" w:rsidRPr="002C3483">
        <w:rPr>
          <w:noProof/>
          <w:lang w:eastAsia="en-GB"/>
        </w:rPr>
        <w:t>EPPO</w:t>
      </w:r>
      <w:r w:rsidRPr="002C3483">
        <w:rPr>
          <w:noProof/>
          <w:lang w:eastAsia="en-GB"/>
        </w:rPr>
        <w:t>.</w:t>
      </w:r>
      <w:r w:rsidRPr="00866F84">
        <w:rPr>
          <w:noProof/>
          <w:lang w:eastAsia="en-GB"/>
        </w:rPr>
        <w:t xml:space="preserve"> </w:t>
      </w:r>
      <w:r w:rsidRPr="002C3483">
        <w:rPr>
          <w:noProof/>
          <w:lang w:eastAsia="en-GB"/>
        </w:rPr>
        <w:t>Newly adopted</w:t>
      </w:r>
      <w:r w:rsidRPr="00866F84">
        <w:rPr>
          <w:noProof/>
          <w:lang w:eastAsia="en-GB"/>
        </w:rPr>
        <w:t xml:space="preserve"> legislation </w:t>
      </w:r>
      <w:r w:rsidR="00A220A4" w:rsidRPr="002C3483">
        <w:rPr>
          <w:noProof/>
          <w:lang w:eastAsia="en-GB"/>
        </w:rPr>
        <w:t>strengthens the Integrity Authority and</w:t>
      </w:r>
      <w:r w:rsidR="00A220A4" w:rsidRPr="00866F84" w:rsidDel="0084630B">
        <w:rPr>
          <w:noProof/>
          <w:lang w:eastAsia="en-GB"/>
        </w:rPr>
        <w:t xml:space="preserve"> </w:t>
      </w:r>
      <w:r w:rsidRPr="00866F84">
        <w:rPr>
          <w:noProof/>
          <w:lang w:eastAsia="en-GB"/>
        </w:rPr>
        <w:t>improves the system of asset declarations, providing for effective oversight and enforcement. No steps have been taken yet to adopt comprehensive legislation on lobbying and revolving doors</w:t>
      </w:r>
      <w:r w:rsidR="000E6A2C" w:rsidRPr="00866F84">
        <w:rPr>
          <w:noProof/>
          <w:lang w:eastAsia="en-GB"/>
        </w:rPr>
        <w:t>,</w:t>
      </w:r>
      <w:r w:rsidRPr="00866F84">
        <w:rPr>
          <w:noProof/>
          <w:lang w:eastAsia="en-GB"/>
        </w:rPr>
        <w:t xml:space="preserve"> and shortcomings related to the transparency of the financing of political parties remain. </w:t>
      </w:r>
      <w:r w:rsidR="00FB40DE" w:rsidRPr="002C3483">
        <w:rPr>
          <w:noProof/>
          <w:lang w:eastAsia="en-GB"/>
        </w:rPr>
        <w:t>N</w:t>
      </w:r>
      <w:r w:rsidRPr="002C3483">
        <w:rPr>
          <w:noProof/>
          <w:lang w:eastAsia="en-GB"/>
        </w:rPr>
        <w:t>ew</w:t>
      </w:r>
      <w:r w:rsidRPr="00866F84">
        <w:rPr>
          <w:noProof/>
          <w:lang w:eastAsia="en-GB"/>
        </w:rPr>
        <w:t xml:space="preserve"> legislation addresses corruption risks in public procurement procedures and increases the transparency of private equity funds.</w:t>
      </w:r>
      <w:r w:rsidR="00FC0AF3">
        <w:rPr>
          <w:noProof/>
          <w:lang w:eastAsia="en-GB"/>
        </w:rPr>
        <w:t xml:space="preserve"> </w:t>
      </w:r>
    </w:p>
    <w:p w14:paraId="285C640A" w14:textId="533AC7BF" w:rsidR="00FC0AF3" w:rsidRPr="006536D8" w:rsidRDefault="00A72AF2" w:rsidP="00FC0AF3">
      <w:pPr>
        <w:pBdr>
          <w:top w:val="single" w:sz="4" w:space="1" w:color="auto"/>
          <w:left w:val="single" w:sz="4" w:space="4" w:color="auto"/>
          <w:bottom w:val="single" w:sz="4" w:space="17" w:color="auto"/>
          <w:right w:val="single" w:sz="4" w:space="4" w:color="auto"/>
        </w:pBdr>
        <w:rPr>
          <w:noProof/>
          <w:lang w:eastAsia="en-GB"/>
        </w:rPr>
      </w:pPr>
      <w:r>
        <w:rPr>
          <w:noProof/>
          <w:lang w:eastAsia="en-GB"/>
        </w:rPr>
        <w:t xml:space="preserve">Legislation adopted in June 2026 amending the Media Act introduces reforms to both the rules governing the national </w:t>
      </w:r>
      <w:r w:rsidRPr="08375EB0">
        <w:rPr>
          <w:noProof/>
          <w:lang w:eastAsia="en-GB"/>
        </w:rPr>
        <w:t xml:space="preserve">media </w:t>
      </w:r>
      <w:r>
        <w:rPr>
          <w:noProof/>
          <w:lang w:eastAsia="en-GB"/>
        </w:rPr>
        <w:t xml:space="preserve">regulator, as well rules on the governance and funding of public service broadcasting. </w:t>
      </w:r>
      <w:r w:rsidR="005B1D48">
        <w:rPr>
          <w:noProof/>
          <w:lang w:eastAsia="en-GB"/>
        </w:rPr>
        <w:t>T</w:t>
      </w:r>
      <w:r>
        <w:rPr>
          <w:noProof/>
          <w:lang w:eastAsia="en-GB"/>
        </w:rPr>
        <w:t xml:space="preserve">ransparency </w:t>
      </w:r>
      <w:r w:rsidR="005B1D48">
        <w:rPr>
          <w:noProof/>
          <w:lang w:eastAsia="en-GB"/>
        </w:rPr>
        <w:t xml:space="preserve">and fairness </w:t>
      </w:r>
      <w:r w:rsidR="0021358C">
        <w:rPr>
          <w:noProof/>
          <w:lang w:eastAsia="en-GB"/>
        </w:rPr>
        <w:t xml:space="preserve">in </w:t>
      </w:r>
      <w:r w:rsidR="00483795">
        <w:rPr>
          <w:noProof/>
          <w:lang w:eastAsia="en-GB"/>
        </w:rPr>
        <w:t xml:space="preserve">the distribution </w:t>
      </w:r>
      <w:r>
        <w:rPr>
          <w:noProof/>
          <w:lang w:eastAsia="en-GB"/>
        </w:rPr>
        <w:t>of state advertising</w:t>
      </w:r>
      <w:r w:rsidR="00DD347C">
        <w:rPr>
          <w:noProof/>
          <w:lang w:eastAsia="en-GB"/>
        </w:rPr>
        <w:t xml:space="preserve"> has not been addressed yet</w:t>
      </w:r>
      <w:r>
        <w:rPr>
          <w:noProof/>
          <w:lang w:eastAsia="en-GB"/>
        </w:rPr>
        <w:t>.</w:t>
      </w:r>
      <w:r w:rsidRPr="08375EB0">
        <w:rPr>
          <w:noProof/>
          <w:lang w:eastAsia="en-GB"/>
        </w:rPr>
        <w:t xml:space="preserve"> Although the processing of court cases relating to access to information has been accelerated, the scope of access remains limited, particularly with regard to the use of public funding. Several journalists and other media professionals encounter</w:t>
      </w:r>
      <w:r>
        <w:rPr>
          <w:noProof/>
          <w:lang w:eastAsia="en-GB"/>
        </w:rPr>
        <w:t>ed</w:t>
      </w:r>
      <w:r w:rsidRPr="08375EB0">
        <w:rPr>
          <w:noProof/>
          <w:lang w:eastAsia="en-GB"/>
        </w:rPr>
        <w:t xml:space="preserve"> serious challenges to their work </w:t>
      </w:r>
      <w:r>
        <w:rPr>
          <w:noProof/>
          <w:lang w:eastAsia="en-GB"/>
        </w:rPr>
        <w:t>during a large part of the reporting period.</w:t>
      </w:r>
      <w:r w:rsidR="00FC0AF3" w:rsidRPr="08375EB0">
        <w:rPr>
          <w:noProof/>
          <w:lang w:eastAsia="en-GB"/>
        </w:rPr>
        <w:t xml:space="preserve">  </w:t>
      </w:r>
    </w:p>
    <w:p w14:paraId="7B769E55" w14:textId="183B8FB2" w:rsidR="00FC0AF3" w:rsidRPr="008A2CC1" w:rsidRDefault="00DA360A" w:rsidP="002C3483">
      <w:pPr>
        <w:pBdr>
          <w:top w:val="single" w:sz="4" w:space="1" w:color="auto"/>
          <w:left w:val="single" w:sz="4" w:space="4" w:color="auto"/>
          <w:bottom w:val="single" w:sz="4" w:space="17" w:color="auto"/>
          <w:right w:val="single" w:sz="4" w:space="4" w:color="auto"/>
        </w:pBdr>
        <w:rPr>
          <w:noProof/>
          <w:lang w:eastAsia="en-GB"/>
        </w:rPr>
      </w:pPr>
      <w:r w:rsidRPr="00AD7A64">
        <w:rPr>
          <w:noProof/>
          <w:lang w:eastAsia="en-GB"/>
        </w:rPr>
        <w:t xml:space="preserve">The former Government used its emergency powers extensively, undermining legal certainty and affecting businesses’ ability to operate in the single market. </w:t>
      </w:r>
      <w:r w:rsidRPr="002C3483">
        <w:rPr>
          <w:noProof/>
          <w:lang w:eastAsia="en-GB"/>
        </w:rPr>
        <w:t>Upon expiry of the</w:t>
      </w:r>
      <w:r w:rsidRPr="00AD7A64">
        <w:rPr>
          <w:noProof/>
          <w:lang w:eastAsia="en-GB"/>
        </w:rPr>
        <w:t xml:space="preserve"> </w:t>
      </w:r>
      <w:r w:rsidRPr="00AD7A64">
        <w:rPr>
          <w:noProof/>
          <w:lang w:val="en-IE" w:eastAsia="en-GB"/>
        </w:rPr>
        <w:t xml:space="preserve">‘state of danger’ on 13 May 2026, </w:t>
      </w:r>
      <w:r w:rsidRPr="002C3483">
        <w:rPr>
          <w:noProof/>
          <w:lang w:val="en-IE" w:eastAsia="en-GB"/>
        </w:rPr>
        <w:t>the new government did not extend it further</w:t>
      </w:r>
      <w:r w:rsidRPr="00AD7A64">
        <w:rPr>
          <w:noProof/>
          <w:lang w:val="en-IE" w:eastAsia="en-GB"/>
        </w:rPr>
        <w:t>.</w:t>
      </w:r>
      <w:r w:rsidR="23362AF6" w:rsidRPr="00AD7A64">
        <w:rPr>
          <w:noProof/>
          <w:lang w:val="en-IE" w:eastAsia="en-GB"/>
        </w:rPr>
        <w:t xml:space="preserve"> </w:t>
      </w:r>
      <w:r w:rsidR="1A607A73" w:rsidRPr="00AD7A64">
        <w:rPr>
          <w:noProof/>
          <w:lang w:eastAsia="en-GB"/>
        </w:rPr>
        <w:t>Foreign companies operating in strategic sectors continue to face intensified regulatory pressure</w:t>
      </w:r>
      <w:r w:rsidR="1A607A73" w:rsidRPr="5C663050">
        <w:rPr>
          <w:noProof/>
          <w:lang w:eastAsia="en-GB"/>
        </w:rPr>
        <w:t xml:space="preserve"> from state action. The legal framework that allows the selective application of competition rules further weakens legal certainty for businesses. The absence of procedural safeguards and effective oversight in the event of secret surveillance measures remains a concern. </w:t>
      </w:r>
      <w:r w:rsidR="00327D31">
        <w:rPr>
          <w:noProof/>
          <w:lang w:eastAsia="en-GB"/>
        </w:rPr>
        <w:t xml:space="preserve">The </w:t>
      </w:r>
      <w:r w:rsidR="00316EA2">
        <w:rPr>
          <w:noProof/>
          <w:lang w:eastAsia="en-GB"/>
        </w:rPr>
        <w:t>Sover</w:t>
      </w:r>
      <w:r w:rsidR="00FC50EA">
        <w:rPr>
          <w:noProof/>
          <w:lang w:eastAsia="en-GB"/>
        </w:rPr>
        <w:t xml:space="preserve">eignty Protection Office </w:t>
      </w:r>
      <w:r w:rsidR="00327D31">
        <w:rPr>
          <w:noProof/>
          <w:lang w:eastAsia="en-GB"/>
        </w:rPr>
        <w:t>has been abolished</w:t>
      </w:r>
      <w:r w:rsidR="00F346DD">
        <w:rPr>
          <w:noProof/>
          <w:lang w:eastAsia="en-GB"/>
        </w:rPr>
        <w:t xml:space="preserve">, whilst </w:t>
      </w:r>
      <w:r w:rsidR="00776D7A" w:rsidRPr="08375EB0">
        <w:rPr>
          <w:noProof/>
          <w:lang w:eastAsia="en-GB"/>
        </w:rPr>
        <w:t xml:space="preserve">obstacles hindering the work </w:t>
      </w:r>
      <w:r w:rsidR="00776D7A">
        <w:rPr>
          <w:noProof/>
          <w:lang w:eastAsia="en-GB"/>
        </w:rPr>
        <w:t xml:space="preserve">of independent civil society organisations </w:t>
      </w:r>
      <w:r w:rsidR="00226709" w:rsidRPr="00AD7A64">
        <w:rPr>
          <w:noProof/>
          <w:lang w:eastAsia="en-GB"/>
        </w:rPr>
        <w:t>are</w:t>
      </w:r>
      <w:r w:rsidR="00776D7A" w:rsidRPr="00AD7A64">
        <w:rPr>
          <w:noProof/>
          <w:lang w:eastAsia="en-GB"/>
        </w:rPr>
        <w:t xml:space="preserve"> </w:t>
      </w:r>
      <w:r w:rsidR="00776D7A" w:rsidRPr="002C3483">
        <w:rPr>
          <w:noProof/>
          <w:lang w:eastAsia="en-GB"/>
        </w:rPr>
        <w:t>yet</w:t>
      </w:r>
      <w:r w:rsidR="00776D7A" w:rsidRPr="00AD7A64">
        <w:rPr>
          <w:noProof/>
          <w:lang w:eastAsia="en-GB"/>
        </w:rPr>
        <w:t xml:space="preserve"> </w:t>
      </w:r>
      <w:r w:rsidR="00226709" w:rsidRPr="00AD7A64">
        <w:rPr>
          <w:noProof/>
          <w:lang w:eastAsia="en-GB"/>
        </w:rPr>
        <w:t>to</w:t>
      </w:r>
      <w:r w:rsidR="00226709">
        <w:rPr>
          <w:noProof/>
          <w:lang w:eastAsia="en-GB"/>
        </w:rPr>
        <w:t xml:space="preserve"> be</w:t>
      </w:r>
      <w:r w:rsidR="00226709" w:rsidRPr="08375EB0">
        <w:rPr>
          <w:noProof/>
          <w:lang w:eastAsia="en-GB"/>
        </w:rPr>
        <w:t xml:space="preserve"> </w:t>
      </w:r>
      <w:r w:rsidR="00776D7A" w:rsidRPr="08375EB0">
        <w:rPr>
          <w:noProof/>
          <w:lang w:eastAsia="en-GB"/>
        </w:rPr>
        <w:t xml:space="preserve">removed. </w:t>
      </w:r>
      <w:r w:rsidR="00776D7A">
        <w:rPr>
          <w:noProof/>
          <w:lang w:eastAsia="en-GB"/>
        </w:rPr>
        <w:t>U</w:t>
      </w:r>
      <w:r w:rsidR="00776D7A" w:rsidRPr="00C16932">
        <w:rPr>
          <w:noProof/>
          <w:lang w:eastAsia="en-GB"/>
        </w:rPr>
        <w:t xml:space="preserve">nder </w:t>
      </w:r>
      <w:r w:rsidR="00776D7A">
        <w:rPr>
          <w:noProof/>
          <w:lang w:eastAsia="en-GB"/>
        </w:rPr>
        <w:t xml:space="preserve">the </w:t>
      </w:r>
      <w:r w:rsidR="00776D7A" w:rsidRPr="00C16932">
        <w:rPr>
          <w:noProof/>
          <w:lang w:eastAsia="en-GB"/>
        </w:rPr>
        <w:t>new legislation</w:t>
      </w:r>
      <w:r w:rsidR="00776D7A">
        <w:rPr>
          <w:noProof/>
          <w:lang w:eastAsia="en-GB"/>
        </w:rPr>
        <w:t>, p</w:t>
      </w:r>
      <w:r w:rsidR="00776D7A" w:rsidRPr="00C16932">
        <w:rPr>
          <w:noProof/>
          <w:lang w:eastAsia="en-GB"/>
        </w:rPr>
        <w:t>ublic interest trusts will be phased out.</w:t>
      </w:r>
      <w:r w:rsidR="1A607A73" w:rsidRPr="5C663050">
        <w:rPr>
          <w:noProof/>
          <w:lang w:eastAsia="en-GB"/>
        </w:rPr>
        <w:br w:type="page"/>
      </w:r>
    </w:p>
    <w:p w14:paraId="3DED3BA9" w14:textId="77777777" w:rsidR="001F1AC5" w:rsidRPr="00855ABF" w:rsidRDefault="001F1AC5" w:rsidP="001F1AC5">
      <w:pPr>
        <w:pageBreakBefore/>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3" w:name="_Hlk202256986"/>
      <w:r w:rsidRPr="00855ABF">
        <w:rPr>
          <w:b/>
          <w:smallCaps/>
          <w:noProof/>
          <w:szCs w:val="24"/>
          <w:u w:val="single"/>
          <w:lang w:eastAsia="en-GB"/>
        </w:rPr>
        <w:t>Recommendations</w:t>
      </w:r>
    </w:p>
    <w:p w14:paraId="278B19E3" w14:textId="77777777" w:rsidR="00BD7BC7" w:rsidRPr="00D16464" w:rsidRDefault="00BD7BC7" w:rsidP="00BD7BC7">
      <w:pPr>
        <w:pBdr>
          <w:top w:val="single" w:sz="4" w:space="1" w:color="auto"/>
          <w:left w:val="single" w:sz="4" w:space="4" w:color="auto"/>
          <w:bottom w:val="single" w:sz="4" w:space="17" w:color="auto"/>
          <w:right w:val="single" w:sz="4" w:space="4" w:color="auto"/>
        </w:pBdr>
        <w:spacing w:after="0"/>
        <w:contextualSpacing/>
        <w:rPr>
          <w:noProof/>
          <w:szCs w:val="24"/>
          <w:lang w:val="en-IE" w:eastAsia="en-GB"/>
        </w:rPr>
      </w:pPr>
      <w:r>
        <w:rPr>
          <w:noProof/>
          <w:szCs w:val="24"/>
          <w:lang w:val="en-IE" w:eastAsia="en-GB"/>
        </w:rPr>
        <w:t xml:space="preserve">Overall, based on the recommendations in the 2025 Rule of Law Report, considering other developments that took place in the period of reference, and in addition to recalling </w:t>
      </w:r>
      <w:r>
        <w:rPr>
          <w:noProof/>
          <w:szCs w:val="24"/>
          <w:lang w:val="en-US" w:eastAsia="en-GB"/>
        </w:rPr>
        <w:t xml:space="preserve">the obligation to comply with the rule of law-related rulings of the CJEU and the rule of law-related infringement procedures referred to in the country chapter, the Commission’s assessment under the general regime of conditionality, the relevant concerns raised in the Article 7(1) TEU procedure initiated by the European Parliament, the relevant commitments made under the Recovery and Resilience Plan, and the country-specific recommendations under the European Semester on reinforcing the anti-corruption framework and the quality and transparency of the decision-making process, </w:t>
      </w:r>
      <w:r>
        <w:rPr>
          <w:noProof/>
          <w:szCs w:val="24"/>
          <w:lang w:val="en-IE" w:eastAsia="en-GB"/>
        </w:rPr>
        <w:t xml:space="preserve">the Commission concludes the following: </w:t>
      </w:r>
    </w:p>
    <w:p w14:paraId="1E6CED03" w14:textId="77777777" w:rsidR="00BD7BC7" w:rsidRPr="00D16464" w:rsidRDefault="00BD7BC7" w:rsidP="00BD7BC7">
      <w:pPr>
        <w:pBdr>
          <w:top w:val="single" w:sz="4" w:space="1" w:color="auto"/>
          <w:left w:val="single" w:sz="4" w:space="4" w:color="auto"/>
          <w:bottom w:val="single" w:sz="4" w:space="17" w:color="auto"/>
          <w:right w:val="single" w:sz="4" w:space="4" w:color="auto"/>
        </w:pBdr>
        <w:spacing w:after="0"/>
        <w:contextualSpacing/>
        <w:rPr>
          <w:noProof/>
          <w:lang w:val="en-IE" w:eastAsia="en-GB"/>
        </w:rPr>
      </w:pPr>
    </w:p>
    <w:p w14:paraId="53CD53DF" w14:textId="77777777" w:rsidR="00BD7BC7" w:rsidRPr="00D16464" w:rsidRDefault="00BD7BC7" w:rsidP="00BD7BC7">
      <w:pPr>
        <w:numPr>
          <w:ilvl w:val="0"/>
          <w:numId w:val="23"/>
        </w:numPr>
        <w:pBdr>
          <w:top w:val="single" w:sz="4" w:space="1" w:color="auto"/>
          <w:left w:val="single" w:sz="4" w:space="4" w:color="auto"/>
          <w:bottom w:val="single" w:sz="4" w:space="17" w:color="auto"/>
          <w:right w:val="single" w:sz="4" w:space="4" w:color="auto"/>
        </w:pBdr>
        <w:spacing w:after="0"/>
        <w:ind w:left="357" w:hanging="357"/>
        <w:contextualSpacing/>
        <w:rPr>
          <w:noProof/>
          <w:lang w:val="en-IE" w:eastAsia="en-GB"/>
        </w:rPr>
      </w:pPr>
      <w:r>
        <w:rPr>
          <w:noProof/>
          <w:lang w:val="en-IE" w:eastAsia="en-GB"/>
        </w:rPr>
        <w:t xml:space="preserve">No progress has been made on the transparency of case allocation systems in lower-instance courts, as the previous government limited itself to addressing deficiencies in the rules on case allocation at the level of the </w:t>
      </w:r>
      <w:r>
        <w:rPr>
          <w:i/>
          <w:iCs/>
          <w:noProof/>
          <w:lang w:val="en-IE" w:eastAsia="en-GB"/>
        </w:rPr>
        <w:t>Kúria</w:t>
      </w:r>
      <w:r>
        <w:rPr>
          <w:noProof/>
          <w:lang w:val="en-IE" w:eastAsia="en-GB"/>
        </w:rPr>
        <w:t xml:space="preserve">. Therefore, it is recommended to Hungary to </w:t>
      </w:r>
      <w:r>
        <w:rPr>
          <w:i/>
          <w:noProof/>
          <w:lang w:val="en-IE" w:eastAsia="en-GB"/>
        </w:rPr>
        <w:t xml:space="preserve">improve the transparency of case allocation systems in lower-instance courts, taking into account European standards on case allocation. </w:t>
      </w:r>
    </w:p>
    <w:p w14:paraId="07176C4E" w14:textId="77777777" w:rsidR="00BD7BC7" w:rsidRPr="00D16464" w:rsidRDefault="00BD7BC7" w:rsidP="00BD7BC7">
      <w:pPr>
        <w:numPr>
          <w:ilvl w:val="0"/>
          <w:numId w:val="23"/>
        </w:numPr>
        <w:pBdr>
          <w:top w:val="single" w:sz="4" w:space="1" w:color="auto"/>
          <w:left w:val="single" w:sz="4" w:space="4" w:color="auto"/>
          <w:bottom w:val="single" w:sz="4" w:space="17" w:color="auto"/>
          <w:right w:val="single" w:sz="4" w:space="4" w:color="auto"/>
        </w:pBdr>
        <w:spacing w:after="0"/>
        <w:ind w:left="357" w:hanging="357"/>
        <w:contextualSpacing/>
        <w:rPr>
          <w:b/>
          <w:bCs/>
          <w:noProof/>
          <w:lang w:val="en-IE" w:eastAsia="en-GB"/>
        </w:rPr>
      </w:pPr>
      <w:r>
        <w:rPr>
          <w:rFonts w:eastAsia="Aptos" w:cs="Arial"/>
          <w:noProof/>
          <w:lang w:val="en-IE"/>
        </w:rPr>
        <w:t xml:space="preserve">No further progress has been made yet to ensure that the ongoing increase in the remuneration of judges, prosecutors and judicial and prosecutorial staff is carried out in a structured manner. Therefore, it is recommended to Hungary to </w:t>
      </w:r>
      <w:r>
        <w:rPr>
          <w:rFonts w:eastAsia="Aptos" w:cs="Arial"/>
          <w:i/>
          <w:noProof/>
          <w:lang w:val="en-IE"/>
        </w:rPr>
        <w:t>take measures to ensure that the ongoing increase in the remuneration of judges, prosecutors and judicial and prosecutorial staff is carried out in a structured manner, taking into account European standards on remuneration for the justice system.</w:t>
      </w:r>
    </w:p>
    <w:p w14:paraId="28A29B18" w14:textId="77777777" w:rsidR="00BD7BC7" w:rsidRPr="00D16464" w:rsidRDefault="00BD7BC7" w:rsidP="00BD7BC7">
      <w:pPr>
        <w:numPr>
          <w:ilvl w:val="0"/>
          <w:numId w:val="23"/>
        </w:numPr>
        <w:pBdr>
          <w:top w:val="single" w:sz="4" w:space="1" w:color="auto"/>
          <w:left w:val="single" w:sz="4" w:space="4" w:color="auto"/>
          <w:bottom w:val="single" w:sz="4" w:space="17" w:color="auto"/>
          <w:right w:val="single" w:sz="4" w:space="4" w:color="auto"/>
        </w:pBdr>
        <w:spacing w:after="0"/>
        <w:contextualSpacing/>
        <w:rPr>
          <w:noProof/>
          <w:szCs w:val="24"/>
          <w:lang w:val="en-IE" w:eastAsia="en-GB"/>
        </w:rPr>
      </w:pPr>
      <w:r>
        <w:rPr>
          <w:noProof/>
          <w:szCs w:val="24"/>
          <w:lang w:val="en-IE" w:eastAsia="en-GB"/>
        </w:rPr>
        <w:t xml:space="preserve">As new legislation was adopted that further develops the system of asset declarations, the recommendation to further improve the system of asset declarations and provide for effective oversight and enforcement has been fully implemented. No progress has been made yet on putting forward comprehensive legislative reforms on lobbying and revolving doors. </w:t>
      </w:r>
      <w:r>
        <w:rPr>
          <w:noProof/>
          <w:szCs w:val="24"/>
          <w:lang w:val="en-IE"/>
        </w:rPr>
        <w:t xml:space="preserve">As these gaps in integrity rules remain unaddressed, it is recommended to Hungary to </w:t>
      </w:r>
      <w:r>
        <w:rPr>
          <w:i/>
          <w:iCs/>
          <w:noProof/>
          <w:szCs w:val="24"/>
          <w:lang w:val="en-IE"/>
        </w:rPr>
        <w:t>strengthen the integrity framework by adopting comprehensive legislative reforms on lobbying and revolving doors</w:t>
      </w:r>
      <w:r>
        <w:rPr>
          <w:noProof/>
          <w:szCs w:val="24"/>
          <w:lang w:val="en-IE"/>
        </w:rPr>
        <w:t xml:space="preserve">. </w:t>
      </w:r>
    </w:p>
    <w:p w14:paraId="0124A863" w14:textId="77777777" w:rsidR="00BD7BC7" w:rsidRPr="00D16464" w:rsidRDefault="00BD7BC7" w:rsidP="00BD7BC7">
      <w:pPr>
        <w:numPr>
          <w:ilvl w:val="0"/>
          <w:numId w:val="23"/>
        </w:numPr>
        <w:pBdr>
          <w:top w:val="single" w:sz="4" w:space="1" w:color="auto"/>
          <w:left w:val="single" w:sz="4" w:space="4" w:color="auto"/>
          <w:bottom w:val="single" w:sz="4" w:space="17" w:color="auto"/>
          <w:right w:val="single" w:sz="4" w:space="4" w:color="auto"/>
        </w:pBdr>
        <w:spacing w:after="0"/>
        <w:contextualSpacing/>
        <w:rPr>
          <w:noProof/>
          <w:szCs w:val="24"/>
          <w:lang w:val="en-IE"/>
        </w:rPr>
      </w:pPr>
      <w:r>
        <w:rPr>
          <w:noProof/>
          <w:szCs w:val="24"/>
          <w:lang w:val="en-IE" w:eastAsia="en-GB"/>
        </w:rPr>
        <w:t xml:space="preserve">No progress has been made on establishing a robust track record of investigations, prosecutions and final judgments for high-level corruption cases, given that the positive changes recently initiated in the anti-corruption framework have not yet come into effect. </w:t>
      </w:r>
      <w:r>
        <w:rPr>
          <w:noProof/>
          <w:color w:val="000000" w:themeColor="text1"/>
          <w:szCs w:val="24"/>
          <w:lang w:val="en-US"/>
        </w:rPr>
        <w:t xml:space="preserve">Therefore, it is recommended to Hungary to </w:t>
      </w:r>
      <w:r>
        <w:rPr>
          <w:i/>
          <w:iCs/>
          <w:noProof/>
          <w:color w:val="000000" w:themeColor="text1"/>
          <w:szCs w:val="24"/>
          <w:lang w:val="en-US"/>
        </w:rPr>
        <w:t>take further measures to ensure a track record of investigations, prosecutions and final judgments for high-level corruption cases</w:t>
      </w:r>
      <w:r>
        <w:rPr>
          <w:noProof/>
          <w:color w:val="000000" w:themeColor="text1"/>
          <w:szCs w:val="24"/>
          <w:lang w:val="en-US"/>
        </w:rPr>
        <w:t>.</w:t>
      </w:r>
    </w:p>
    <w:p w14:paraId="765C8812" w14:textId="77777777" w:rsidR="00BD7BC7" w:rsidRPr="00D16464" w:rsidRDefault="00BD7BC7" w:rsidP="00BD7BC7">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bCs/>
          <w:noProof/>
          <w:lang w:val="en-IE" w:eastAsia="en-GB"/>
        </w:rPr>
      </w:pPr>
      <w:r>
        <w:rPr>
          <w:bCs/>
          <w:noProof/>
          <w:lang w:val="en-IE" w:eastAsia="en-GB"/>
        </w:rPr>
        <w:t xml:space="preserve">Some progress has been made to ensure that there are no obstacles hindering the work of civil society organisations and foster a safe and enabling civic space, given measures such as the abolition of the Sovereignty Protection Office were taken, while legislation hampering their capacity of working has not been repealed. Therefore, it is recommended to Hungary to </w:t>
      </w:r>
      <w:r>
        <w:rPr>
          <w:bCs/>
          <w:i/>
          <w:iCs/>
          <w:noProof/>
          <w:lang w:val="en-IE" w:eastAsia="en-GB"/>
        </w:rPr>
        <w:t>further ensure that there are no obstacles hindering the work of civil society organisations, including by repealing legislation that hampers their capacity of working, and to further foster a safe and enabling civic space</w:t>
      </w:r>
      <w:r>
        <w:rPr>
          <w:bCs/>
          <w:noProof/>
          <w:lang w:val="en-IE" w:eastAsia="en-GB"/>
        </w:rPr>
        <w:t>.</w:t>
      </w:r>
    </w:p>
    <w:p w14:paraId="56DD1DE3" w14:textId="77777777" w:rsidR="00BD7BC7" w:rsidRPr="00D16464" w:rsidRDefault="00BD7BC7" w:rsidP="00BD7BC7">
      <w:pPr>
        <w:rPr>
          <w:bCs/>
          <w:noProof/>
          <w:lang w:val="en-IE" w:eastAsia="en-GB"/>
        </w:rPr>
      </w:pPr>
      <w:r>
        <w:rPr>
          <w:bCs/>
          <w:noProof/>
          <w:lang w:val="en-IE" w:eastAsia="en-GB"/>
        </w:rPr>
        <w:br w:type="page"/>
      </w:r>
    </w:p>
    <w:p w14:paraId="7BD082E0" w14:textId="77777777" w:rsidR="00BD7BC7" w:rsidRPr="00D16464" w:rsidRDefault="00BD7BC7" w:rsidP="00BD7BC7">
      <w:pPr>
        <w:pBdr>
          <w:top w:val="single" w:sz="4" w:space="1" w:color="auto"/>
          <w:left w:val="single" w:sz="4" w:space="4" w:color="auto"/>
          <w:bottom w:val="single" w:sz="4" w:space="17" w:color="auto"/>
          <w:right w:val="single" w:sz="4" w:space="4" w:color="auto"/>
        </w:pBdr>
        <w:spacing w:after="0"/>
        <w:contextualSpacing/>
        <w:rPr>
          <w:bCs/>
          <w:noProof/>
          <w:lang w:val="en-IE" w:eastAsia="en-GB"/>
        </w:rPr>
      </w:pPr>
      <w:r>
        <w:rPr>
          <w:bCs/>
          <w:noProof/>
          <w:lang w:val="en-IE" w:eastAsia="en-GB"/>
        </w:rPr>
        <w:t>As regards the other 2025 recommendations, the Commission concludes that:</w:t>
      </w:r>
    </w:p>
    <w:p w14:paraId="0939BD6B" w14:textId="77777777" w:rsidR="00BD7BC7" w:rsidRPr="00D16464" w:rsidRDefault="00BD7BC7" w:rsidP="00BD7BC7">
      <w:pPr>
        <w:pBdr>
          <w:top w:val="single" w:sz="4" w:space="1" w:color="auto"/>
          <w:left w:val="single" w:sz="4" w:space="4" w:color="auto"/>
          <w:bottom w:val="single" w:sz="4" w:space="17" w:color="auto"/>
          <w:right w:val="single" w:sz="4" w:space="4" w:color="auto"/>
        </w:pBdr>
        <w:spacing w:after="200"/>
        <w:contextualSpacing/>
        <w:rPr>
          <w:bCs/>
          <w:noProof/>
          <w:lang w:val="en-IE" w:eastAsia="en-GB"/>
        </w:rPr>
      </w:pPr>
    </w:p>
    <w:p w14:paraId="07247709" w14:textId="77777777" w:rsidR="00BD7BC7" w:rsidRPr="00D16464" w:rsidRDefault="00BD7BC7" w:rsidP="00BD7BC7">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bCs/>
          <w:noProof/>
          <w:lang w:val="en-IE" w:eastAsia="en-GB"/>
        </w:rPr>
      </w:pPr>
      <w:r>
        <w:rPr>
          <w:bCs/>
          <w:noProof/>
          <w:lang w:val="en-IE" w:eastAsia="en-GB"/>
        </w:rPr>
        <w:t xml:space="preserve">Some progress has been made on introducing mechanisms to enhance the functional independence of the media regulatory authority taking into account European standards on the independence of media regulators, in the light of recent legislation which has introduced reforms in this area. </w:t>
      </w:r>
    </w:p>
    <w:p w14:paraId="1CF73A7C" w14:textId="77777777" w:rsidR="00BD7BC7" w:rsidRPr="00D16464" w:rsidRDefault="00BD7BC7" w:rsidP="00BD7BC7">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bCs/>
          <w:noProof/>
          <w:szCs w:val="24"/>
          <w:lang w:val="en-IE" w:eastAsia="en-GB"/>
        </w:rPr>
      </w:pPr>
      <w:r>
        <w:rPr>
          <w:bCs/>
          <w:noProof/>
          <w:szCs w:val="24"/>
          <w:lang w:val="en-IE" w:eastAsia="en-GB"/>
        </w:rPr>
        <w:t xml:space="preserve">No progress has been made yet to ensure fair and transparent distribution of advertising expenditure by the state and state-owned companies, as no legislative or other measures have been proposed. </w:t>
      </w:r>
      <w:r>
        <w:rPr>
          <w:bCs/>
          <w:noProof/>
          <w:szCs w:val="24"/>
          <w:lang w:val="en-US" w:eastAsia="en-GB"/>
        </w:rPr>
        <w:t xml:space="preserve"> </w:t>
      </w:r>
    </w:p>
    <w:p w14:paraId="538B72F3" w14:textId="77777777" w:rsidR="00BD7BC7" w:rsidRPr="00D16464" w:rsidRDefault="00BD7BC7" w:rsidP="00BD7BC7">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bCs/>
          <w:noProof/>
          <w:lang w:val="en-IE" w:eastAsia="en-GB"/>
        </w:rPr>
      </w:pPr>
      <w:r>
        <w:rPr>
          <w:bCs/>
          <w:noProof/>
          <w:lang w:val="en-IE" w:eastAsia="en-GB"/>
        </w:rPr>
        <w:t xml:space="preserve">Some progress has been made on strengthening the rules and mechanisms to enhance the independent governance and editorial independence of public service media taking into account European standards on public service media, in the light of recent legislation which has introduced reforms in this area. </w:t>
      </w:r>
    </w:p>
    <w:p w14:paraId="27C5AE31" w14:textId="77777777" w:rsidR="00BD7BC7" w:rsidRPr="00D16464" w:rsidRDefault="00BD7BC7" w:rsidP="00BD7BC7">
      <w:pPr>
        <w:pBdr>
          <w:top w:val="single" w:sz="4" w:space="1" w:color="auto"/>
          <w:left w:val="single" w:sz="4" w:space="4" w:color="auto"/>
          <w:bottom w:val="single" w:sz="4" w:space="17" w:color="auto"/>
          <w:right w:val="single" w:sz="4" w:space="4" w:color="auto"/>
        </w:pBdr>
        <w:spacing w:after="200"/>
        <w:contextualSpacing/>
        <w:rPr>
          <w:bCs/>
          <w:noProof/>
          <w:lang w:val="en-IE" w:eastAsia="en-GB"/>
        </w:rPr>
      </w:pPr>
    </w:p>
    <w:p w14:paraId="7E6A1C05" w14:textId="25ABEE39" w:rsidR="00EC3CE5" w:rsidRDefault="00BD7BC7" w:rsidP="00462697">
      <w:pPr>
        <w:pBdr>
          <w:top w:val="single" w:sz="4" w:space="1" w:color="auto"/>
          <w:left w:val="single" w:sz="4" w:space="4" w:color="auto"/>
          <w:bottom w:val="single" w:sz="4" w:space="17" w:color="auto"/>
          <w:right w:val="single" w:sz="4" w:space="4" w:color="auto"/>
        </w:pBdr>
        <w:spacing w:after="0" w:line="259" w:lineRule="auto"/>
        <w:rPr>
          <w:noProof/>
        </w:rPr>
      </w:pPr>
      <w:r>
        <w:rPr>
          <w:bCs/>
          <w:noProof/>
          <w:lang w:val="en-US" w:eastAsia="en-GB"/>
        </w:rPr>
        <w:t>Given that the topics of the three recommendations above are covered by provisions of the European Media Freedom Act (EMFA), while the Rule of Law Report will continue to monitor significant developments and report on their impact, further follow-up will be ensured as part of the Commission’s support to Member States and enforcement of the EMFA.</w:t>
      </w:r>
    </w:p>
    <w:bookmarkEnd w:id="3"/>
    <w:p w14:paraId="6924561C" w14:textId="77777777" w:rsidR="001F1AC5" w:rsidRPr="00165CC4" w:rsidRDefault="001F1AC5" w:rsidP="001F1AC5">
      <w:pPr>
        <w:rPr>
          <w:noProof/>
          <w:lang w:val="en-IE" w:eastAsia="en-GB"/>
        </w:rPr>
      </w:pPr>
      <w:r w:rsidRPr="00165CC4">
        <w:rPr>
          <w:noProof/>
          <w:lang w:val="en-IE" w:eastAsia="en-GB"/>
        </w:rPr>
        <w:br w:type="page"/>
      </w:r>
    </w:p>
    <w:p w14:paraId="10A526C2" w14:textId="0B77CB44" w:rsidR="00FC0AF3" w:rsidRPr="00FC0AF3" w:rsidRDefault="00FC0AF3" w:rsidP="00CF5555">
      <w:pPr>
        <w:pStyle w:val="Heading1"/>
        <w:numPr>
          <w:ilvl w:val="0"/>
          <w:numId w:val="33"/>
        </w:numPr>
        <w:rPr>
          <w:noProof/>
          <w:u w:val="single"/>
        </w:rPr>
      </w:pPr>
      <w:r w:rsidRPr="00FC0AF3">
        <w:rPr>
          <w:noProof/>
          <w:u w:val="single"/>
        </w:rPr>
        <w:t>Justice System</w:t>
      </w:r>
      <w:r w:rsidRPr="00FC0AF3">
        <w:rPr>
          <w:b w:val="0"/>
          <w:bCs/>
          <w:noProof/>
          <w:u w:val="single"/>
          <w:vertAlign w:val="superscript"/>
        </w:rPr>
        <w:footnoteReference w:id="1"/>
      </w:r>
      <w:r w:rsidRPr="00FC0AF3">
        <w:rPr>
          <w:b w:val="0"/>
          <w:bCs/>
          <w:noProof/>
          <w:u w:val="single"/>
        </w:rPr>
        <w:t xml:space="preserve"> </w:t>
      </w:r>
    </w:p>
    <w:p w14:paraId="2ACC87F7" w14:textId="77777777" w:rsidR="00FC0AF3" w:rsidRPr="006536D8" w:rsidRDefault="00FC0AF3" w:rsidP="00FC0AF3">
      <w:pPr>
        <w:pStyle w:val="Heading2"/>
        <w:numPr>
          <w:ilvl w:val="0"/>
          <w:numId w:val="0"/>
        </w:numPr>
        <w:rPr>
          <w:noProof/>
        </w:rPr>
      </w:pPr>
      <w:r w:rsidRPr="006536D8">
        <w:rPr>
          <w:noProof/>
        </w:rPr>
        <w:t xml:space="preserve">Independence </w:t>
      </w:r>
    </w:p>
    <w:p w14:paraId="0388DE02" w14:textId="77777777" w:rsidR="00FC0AF3" w:rsidRPr="00176807" w:rsidRDefault="00FC0AF3" w:rsidP="00FC0AF3">
      <w:pPr>
        <w:rPr>
          <w:noProof/>
          <w:lang w:eastAsia="fr-FR"/>
        </w:rPr>
      </w:pPr>
      <w:r w:rsidRPr="004E3FF2">
        <w:rPr>
          <w:rFonts w:eastAsia="Calibri"/>
          <w:b/>
          <w:bCs/>
          <w:noProof/>
          <w:szCs w:val="24"/>
        </w:rPr>
        <w:t xml:space="preserve">The level of perceived judicial independence in Hungary continues to be </w:t>
      </w:r>
      <w:r>
        <w:rPr>
          <w:rFonts w:eastAsia="Calibri"/>
          <w:b/>
          <w:bCs/>
          <w:noProof/>
          <w:szCs w:val="24"/>
        </w:rPr>
        <w:t>low</w:t>
      </w:r>
      <w:r w:rsidRPr="004E3FF2">
        <w:rPr>
          <w:rFonts w:eastAsia="Calibri"/>
          <w:b/>
          <w:bCs/>
          <w:noProof/>
          <w:szCs w:val="24"/>
        </w:rPr>
        <w:t xml:space="preserve"> </w:t>
      </w:r>
      <w:r w:rsidRPr="38C1545D">
        <w:rPr>
          <w:rFonts w:eastAsia="Calibri"/>
          <w:b/>
          <w:noProof/>
          <w:szCs w:val="24"/>
        </w:rPr>
        <w:t>among both</w:t>
      </w:r>
      <w:r w:rsidRPr="004E3FF2">
        <w:rPr>
          <w:rFonts w:eastAsia="Calibri"/>
          <w:b/>
          <w:bCs/>
          <w:noProof/>
          <w:szCs w:val="24"/>
        </w:rPr>
        <w:t xml:space="preserve"> the general public and companies</w:t>
      </w:r>
      <w:r w:rsidRPr="004E3FF2">
        <w:rPr>
          <w:rFonts w:eastAsia="Calibri"/>
          <w:noProof/>
          <w:szCs w:val="24"/>
        </w:rPr>
        <w:t xml:space="preserve">. Overall, </w:t>
      </w:r>
      <w:r>
        <w:rPr>
          <w:rFonts w:eastAsia="Calibri"/>
          <w:noProof/>
          <w:szCs w:val="24"/>
        </w:rPr>
        <w:t>31</w:t>
      </w:r>
      <w:r w:rsidRPr="004E3FF2">
        <w:rPr>
          <w:rFonts w:eastAsia="Calibri"/>
          <w:noProof/>
          <w:szCs w:val="24"/>
        </w:rPr>
        <w:t xml:space="preserve">% of the general population and </w:t>
      </w:r>
      <w:r w:rsidRPr="38C1545D">
        <w:rPr>
          <w:rFonts w:eastAsia="Calibri"/>
          <w:noProof/>
          <w:szCs w:val="24"/>
        </w:rPr>
        <w:t>33% of companies</w:t>
      </w:r>
      <w:r w:rsidRPr="004E3FF2">
        <w:rPr>
          <w:rFonts w:eastAsia="Calibri"/>
          <w:noProof/>
          <w:szCs w:val="24"/>
        </w:rPr>
        <w:t xml:space="preserve"> perceive the level of independence of courts and judges to be ‘fairly or very good’ in 202</w:t>
      </w:r>
      <w:r>
        <w:rPr>
          <w:rFonts w:eastAsia="Calibri"/>
          <w:noProof/>
          <w:szCs w:val="24"/>
        </w:rPr>
        <w:t>6</w:t>
      </w:r>
      <w:r>
        <w:rPr>
          <w:rStyle w:val="FootnoteReference"/>
          <w:noProof/>
          <w:szCs w:val="24"/>
        </w:rPr>
        <w:footnoteReference w:id="2"/>
      </w:r>
      <w:r w:rsidRPr="004E3FF2">
        <w:rPr>
          <w:rFonts w:eastAsia="Calibri"/>
          <w:noProof/>
          <w:szCs w:val="24"/>
        </w:rPr>
        <w:t xml:space="preserve">. The perceived level of independence among the general public has </w:t>
      </w:r>
      <w:r>
        <w:rPr>
          <w:rFonts w:eastAsia="Calibri"/>
          <w:noProof/>
          <w:szCs w:val="24"/>
        </w:rPr>
        <w:t>significantly de</w:t>
      </w:r>
      <w:r w:rsidRPr="004E3FF2">
        <w:rPr>
          <w:rFonts w:eastAsia="Calibri"/>
          <w:noProof/>
          <w:szCs w:val="24"/>
        </w:rPr>
        <w:t>creased in comparison with 202</w:t>
      </w:r>
      <w:r>
        <w:rPr>
          <w:rFonts w:eastAsia="Calibri"/>
          <w:noProof/>
          <w:szCs w:val="24"/>
        </w:rPr>
        <w:t>5</w:t>
      </w:r>
      <w:r w:rsidRPr="004E3FF2">
        <w:rPr>
          <w:rFonts w:eastAsia="Calibri"/>
          <w:noProof/>
          <w:szCs w:val="24"/>
        </w:rPr>
        <w:t xml:space="preserve"> (</w:t>
      </w:r>
      <w:r>
        <w:rPr>
          <w:rFonts w:eastAsia="Calibri"/>
          <w:noProof/>
          <w:szCs w:val="24"/>
        </w:rPr>
        <w:t>38</w:t>
      </w:r>
      <w:r w:rsidRPr="004E3FF2">
        <w:rPr>
          <w:rFonts w:eastAsia="Calibri"/>
          <w:noProof/>
          <w:szCs w:val="24"/>
        </w:rPr>
        <w:t xml:space="preserve">%), </w:t>
      </w:r>
      <w:r>
        <w:rPr>
          <w:rFonts w:eastAsia="Calibri"/>
          <w:noProof/>
          <w:szCs w:val="24"/>
        </w:rPr>
        <w:t xml:space="preserve">as well as in comparison with </w:t>
      </w:r>
      <w:r w:rsidRPr="004E3FF2">
        <w:rPr>
          <w:rFonts w:eastAsia="Calibri"/>
          <w:noProof/>
          <w:szCs w:val="24"/>
        </w:rPr>
        <w:t>202</w:t>
      </w:r>
      <w:r>
        <w:rPr>
          <w:rFonts w:eastAsia="Calibri"/>
          <w:noProof/>
          <w:szCs w:val="24"/>
        </w:rPr>
        <w:t>2</w:t>
      </w:r>
      <w:r w:rsidRPr="004E3FF2">
        <w:rPr>
          <w:rFonts w:eastAsia="Calibri"/>
          <w:noProof/>
          <w:szCs w:val="24"/>
        </w:rPr>
        <w:t xml:space="preserve"> (</w:t>
      </w:r>
      <w:r>
        <w:rPr>
          <w:rFonts w:eastAsia="Calibri"/>
          <w:noProof/>
          <w:szCs w:val="24"/>
        </w:rPr>
        <w:t>43</w:t>
      </w:r>
      <w:r w:rsidRPr="004E3FF2">
        <w:rPr>
          <w:rFonts w:eastAsia="Calibri"/>
          <w:noProof/>
          <w:szCs w:val="24"/>
        </w:rPr>
        <w:t xml:space="preserve">%). The perceived </w:t>
      </w:r>
      <w:r>
        <w:rPr>
          <w:rFonts w:eastAsia="Calibri"/>
          <w:noProof/>
          <w:szCs w:val="24"/>
        </w:rPr>
        <w:t>level of</w:t>
      </w:r>
      <w:r w:rsidRPr="004E3FF2">
        <w:rPr>
          <w:rFonts w:eastAsia="Calibri"/>
          <w:noProof/>
          <w:szCs w:val="24"/>
        </w:rPr>
        <w:t xml:space="preserve"> judicial independence among companies has </w:t>
      </w:r>
      <w:r>
        <w:rPr>
          <w:rFonts w:eastAsia="Calibri"/>
          <w:noProof/>
          <w:szCs w:val="24"/>
        </w:rPr>
        <w:t>de</w:t>
      </w:r>
      <w:r w:rsidRPr="004E3FF2">
        <w:rPr>
          <w:rFonts w:eastAsia="Calibri"/>
          <w:noProof/>
          <w:szCs w:val="24"/>
        </w:rPr>
        <w:t>creased since 202</w:t>
      </w:r>
      <w:r>
        <w:rPr>
          <w:rFonts w:eastAsia="Calibri"/>
          <w:noProof/>
          <w:szCs w:val="24"/>
        </w:rPr>
        <w:t>5</w:t>
      </w:r>
      <w:r w:rsidRPr="004E3FF2">
        <w:rPr>
          <w:rFonts w:eastAsia="Calibri"/>
          <w:noProof/>
          <w:szCs w:val="24"/>
        </w:rPr>
        <w:t xml:space="preserve"> (</w:t>
      </w:r>
      <w:r>
        <w:rPr>
          <w:rFonts w:eastAsia="Calibri"/>
          <w:noProof/>
          <w:szCs w:val="24"/>
        </w:rPr>
        <w:t>38</w:t>
      </w:r>
      <w:r w:rsidRPr="004E3FF2">
        <w:rPr>
          <w:rFonts w:eastAsia="Calibri"/>
          <w:noProof/>
          <w:szCs w:val="24"/>
        </w:rPr>
        <w:t>%)</w:t>
      </w:r>
      <w:r>
        <w:rPr>
          <w:rFonts w:eastAsia="Calibri"/>
          <w:noProof/>
          <w:szCs w:val="24"/>
        </w:rPr>
        <w:t xml:space="preserve"> and has slightly decreased in comparison with 2022</w:t>
      </w:r>
      <w:r w:rsidRPr="004E3FF2">
        <w:rPr>
          <w:rFonts w:eastAsia="Calibri"/>
          <w:noProof/>
          <w:szCs w:val="24"/>
        </w:rPr>
        <w:t xml:space="preserve"> (</w:t>
      </w:r>
      <w:r>
        <w:rPr>
          <w:rFonts w:eastAsia="Calibri"/>
          <w:noProof/>
          <w:szCs w:val="24"/>
        </w:rPr>
        <w:t>34</w:t>
      </w:r>
      <w:r w:rsidRPr="004E3FF2">
        <w:rPr>
          <w:rFonts w:eastAsia="Calibri"/>
          <w:noProof/>
          <w:szCs w:val="24"/>
        </w:rPr>
        <w:t>%).</w:t>
      </w:r>
    </w:p>
    <w:p w14:paraId="34B9ACF2" w14:textId="77777777" w:rsidR="00FC0AF3" w:rsidRPr="002845D7" w:rsidRDefault="00FC0AF3" w:rsidP="00FC0AF3">
      <w:pPr>
        <w:rPr>
          <w:noProof/>
          <w:lang w:val="hu-HU" w:eastAsia="fr-FR"/>
        </w:rPr>
      </w:pPr>
      <w:r w:rsidRPr="00CC4C18">
        <w:rPr>
          <w:b/>
          <w:bCs/>
          <w:noProof/>
          <w:lang w:eastAsia="fr-FR"/>
        </w:rPr>
        <w:t>The National Judicial Council has continued to exercise the powers it acquired through the 2023 judicial reform</w:t>
      </w:r>
      <w:r>
        <w:rPr>
          <w:rStyle w:val="FootnoteReference"/>
          <w:b/>
          <w:bCs/>
          <w:noProof/>
          <w:lang w:eastAsia="fr-FR"/>
        </w:rPr>
        <w:footnoteReference w:id="3"/>
      </w:r>
      <w:r w:rsidRPr="006536D8">
        <w:rPr>
          <w:b/>
          <w:bCs/>
          <w:noProof/>
          <w:lang w:eastAsia="fr-FR"/>
        </w:rPr>
        <w:t xml:space="preserve">. </w:t>
      </w:r>
      <w:r w:rsidRPr="00546E04">
        <w:rPr>
          <w:noProof/>
          <w:lang w:eastAsia="fr-FR"/>
        </w:rPr>
        <w:t xml:space="preserve">In particular, </w:t>
      </w:r>
      <w:r>
        <w:rPr>
          <w:noProof/>
          <w:lang w:eastAsia="fr-FR"/>
        </w:rPr>
        <w:t xml:space="preserve">the </w:t>
      </w:r>
      <w:r w:rsidRPr="00682267">
        <w:rPr>
          <w:noProof/>
          <w:lang w:eastAsia="fr-FR"/>
        </w:rPr>
        <w:t>National Judicial Council (</w:t>
      </w:r>
      <w:r>
        <w:rPr>
          <w:noProof/>
          <w:lang w:eastAsia="fr-FR"/>
        </w:rPr>
        <w:t xml:space="preserve">NJC) rejected the decisions of the President of the </w:t>
      </w:r>
      <w:r w:rsidRPr="00205F1B">
        <w:rPr>
          <w:noProof/>
          <w:lang w:eastAsia="fr-FR"/>
        </w:rPr>
        <w:t xml:space="preserve">National Office for the Judiciary </w:t>
      </w:r>
      <w:r>
        <w:rPr>
          <w:noProof/>
          <w:lang w:eastAsia="fr-FR"/>
        </w:rPr>
        <w:t xml:space="preserve">(NOJ) to annul the application procedures for two judicial posts, and did not agree with the secondment of a judge to </w:t>
      </w:r>
      <w:r w:rsidRPr="002A2A68">
        <w:rPr>
          <w:noProof/>
          <w:lang w:eastAsia="fr-FR"/>
        </w:rPr>
        <w:t>the National Directorate-General for</w:t>
      </w:r>
      <w:r>
        <w:rPr>
          <w:noProof/>
          <w:lang w:eastAsia="fr-FR"/>
        </w:rPr>
        <w:t xml:space="preserve"> </w:t>
      </w:r>
      <w:r w:rsidRPr="002A2A68">
        <w:rPr>
          <w:noProof/>
          <w:lang w:eastAsia="fr-FR"/>
        </w:rPr>
        <w:t>Hospitals</w:t>
      </w:r>
      <w:r>
        <w:rPr>
          <w:noProof/>
          <w:lang w:eastAsia="fr-FR"/>
        </w:rPr>
        <w:t xml:space="preserve"> and with the temporary transfer of two judges</w:t>
      </w:r>
      <w:r>
        <w:rPr>
          <w:rStyle w:val="FootnoteReference"/>
          <w:noProof/>
          <w:lang w:eastAsia="fr-FR"/>
        </w:rPr>
        <w:footnoteReference w:id="4"/>
      </w:r>
      <w:r>
        <w:rPr>
          <w:noProof/>
          <w:lang w:eastAsia="fr-FR"/>
        </w:rPr>
        <w:t xml:space="preserve">. </w:t>
      </w:r>
      <w:r w:rsidRPr="00E7591B">
        <w:rPr>
          <w:noProof/>
          <w:lang w:eastAsia="fr-FR"/>
        </w:rPr>
        <w:t xml:space="preserve">In 2025, the NJC requested </w:t>
      </w:r>
      <w:r>
        <w:rPr>
          <w:noProof/>
          <w:lang w:eastAsia="fr-FR"/>
        </w:rPr>
        <w:t xml:space="preserve">the NOJ President </w:t>
      </w:r>
      <w:r w:rsidRPr="00E7591B">
        <w:rPr>
          <w:noProof/>
          <w:lang w:eastAsia="fr-FR"/>
        </w:rPr>
        <w:t xml:space="preserve">on three occasions </w:t>
      </w:r>
      <w:r>
        <w:rPr>
          <w:noProof/>
          <w:lang w:eastAsia="fr-FR"/>
        </w:rPr>
        <w:t xml:space="preserve">to grant </w:t>
      </w:r>
      <w:r w:rsidRPr="00E7591B">
        <w:rPr>
          <w:noProof/>
          <w:lang w:eastAsia="fr-FR"/>
        </w:rPr>
        <w:t>access to documents in order to get acquainted with the proposals and comments received from the courts in connection with certain bills and regulations</w:t>
      </w:r>
      <w:r>
        <w:rPr>
          <w:rStyle w:val="FootnoteReference"/>
          <w:noProof/>
          <w:lang w:eastAsia="fr-FR"/>
        </w:rPr>
        <w:footnoteReference w:id="5"/>
      </w:r>
      <w:r w:rsidRPr="00E7591B">
        <w:rPr>
          <w:noProof/>
          <w:lang w:eastAsia="fr-FR"/>
        </w:rPr>
        <w:t xml:space="preserve">. </w:t>
      </w:r>
      <w:r w:rsidRPr="004077D5">
        <w:rPr>
          <w:noProof/>
          <w:lang w:eastAsia="fr-FR"/>
        </w:rPr>
        <w:t xml:space="preserve">The </w:t>
      </w:r>
      <w:r>
        <w:rPr>
          <w:noProof/>
          <w:lang w:eastAsia="fr-FR"/>
        </w:rPr>
        <w:t xml:space="preserve">NJC seized the Constitutional Court twice </w:t>
      </w:r>
      <w:r w:rsidRPr="00D52174">
        <w:rPr>
          <w:noProof/>
          <w:lang w:eastAsia="fr-FR"/>
        </w:rPr>
        <w:t>to defend its prerogative</w:t>
      </w:r>
      <w:r>
        <w:rPr>
          <w:noProof/>
          <w:lang w:eastAsia="fr-FR"/>
        </w:rPr>
        <w:t xml:space="preserve"> to be consulted on </w:t>
      </w:r>
      <w:r w:rsidRPr="00CA6FA6">
        <w:rPr>
          <w:noProof/>
          <w:lang w:eastAsia="fr-FR"/>
        </w:rPr>
        <w:t>legislative proposals affecting</w:t>
      </w:r>
      <w:r>
        <w:rPr>
          <w:noProof/>
          <w:lang w:eastAsia="fr-FR"/>
        </w:rPr>
        <w:t xml:space="preserve"> </w:t>
      </w:r>
      <w:r w:rsidRPr="00CA6FA6">
        <w:rPr>
          <w:noProof/>
          <w:lang w:eastAsia="fr-FR"/>
        </w:rPr>
        <w:t>the justice system</w:t>
      </w:r>
      <w:r>
        <w:rPr>
          <w:rStyle w:val="FootnoteReference"/>
          <w:noProof/>
          <w:lang w:eastAsia="fr-FR"/>
        </w:rPr>
        <w:footnoteReference w:id="6"/>
      </w:r>
      <w:r>
        <w:rPr>
          <w:noProof/>
          <w:lang w:eastAsia="fr-FR"/>
        </w:rPr>
        <w:t xml:space="preserve">. On 18 May 2026, the NJC proposed that the procedural rules introduced in 2025 </w:t>
      </w:r>
      <w:r w:rsidRPr="00C45931">
        <w:rPr>
          <w:noProof/>
          <w:lang w:eastAsia="fr-FR"/>
        </w:rPr>
        <w:t>obliging the court to pay the parties a daily lump sum as compensation for any breach of a procedural deadline by the judge hearing the case</w:t>
      </w:r>
      <w:r>
        <w:rPr>
          <w:noProof/>
          <w:lang w:eastAsia="fr-FR"/>
        </w:rPr>
        <w:t xml:space="preserve"> be repealed</w:t>
      </w:r>
      <w:r>
        <w:rPr>
          <w:rStyle w:val="FootnoteReference"/>
          <w:noProof/>
          <w:lang w:eastAsia="fr-FR"/>
        </w:rPr>
        <w:footnoteReference w:id="7"/>
      </w:r>
      <w:r>
        <w:rPr>
          <w:noProof/>
          <w:lang w:eastAsia="fr-FR"/>
        </w:rPr>
        <w:t xml:space="preserve">. On the same day, the </w:t>
      </w:r>
      <w:r w:rsidRPr="007961DF">
        <w:rPr>
          <w:noProof/>
          <w:lang w:eastAsia="fr-FR"/>
        </w:rPr>
        <w:t xml:space="preserve">Council gave </w:t>
      </w:r>
      <w:r>
        <w:rPr>
          <w:noProof/>
          <w:lang w:eastAsia="fr-FR"/>
        </w:rPr>
        <w:t xml:space="preserve">a </w:t>
      </w:r>
      <w:r w:rsidRPr="007961DF">
        <w:rPr>
          <w:noProof/>
          <w:lang w:eastAsia="fr-FR"/>
        </w:rPr>
        <w:t xml:space="preserve">positive opinion on the suitability of </w:t>
      </w:r>
      <w:r>
        <w:rPr>
          <w:noProof/>
          <w:lang w:eastAsia="fr-FR"/>
        </w:rPr>
        <w:t xml:space="preserve">a </w:t>
      </w:r>
      <w:r w:rsidRPr="007961DF">
        <w:rPr>
          <w:noProof/>
          <w:lang w:eastAsia="fr-FR"/>
        </w:rPr>
        <w:t xml:space="preserve">candidate for the post of </w:t>
      </w:r>
      <w:r w:rsidRPr="002845D7">
        <w:rPr>
          <w:i/>
          <w:iCs/>
          <w:noProof/>
          <w:lang w:eastAsia="fr-FR"/>
        </w:rPr>
        <w:t>Kúria</w:t>
      </w:r>
      <w:r w:rsidRPr="007961DF">
        <w:rPr>
          <w:noProof/>
          <w:lang w:eastAsia="fr-FR"/>
        </w:rPr>
        <w:t xml:space="preserve"> Vice-President</w:t>
      </w:r>
      <w:r>
        <w:rPr>
          <w:rStyle w:val="FootnoteReference"/>
          <w:noProof/>
          <w:lang w:val="hu-HU" w:eastAsia="fr-FR"/>
        </w:rPr>
        <w:footnoteReference w:id="8"/>
      </w:r>
      <w:r>
        <w:rPr>
          <w:noProof/>
          <w:lang w:val="hu-HU" w:eastAsia="fr-FR"/>
        </w:rPr>
        <w:t>.</w:t>
      </w:r>
    </w:p>
    <w:p w14:paraId="522C9EEC" w14:textId="74B9F23E" w:rsidR="00FC0AF3" w:rsidRDefault="00FC0AF3" w:rsidP="00FC0AF3">
      <w:pPr>
        <w:rPr>
          <w:noProof/>
          <w:lang w:eastAsia="fr-FR"/>
        </w:rPr>
      </w:pPr>
      <w:r w:rsidRPr="00387F0D">
        <w:rPr>
          <w:b/>
          <w:bCs/>
          <w:noProof/>
          <w:lang w:eastAsia="fr-FR"/>
        </w:rPr>
        <w:t>The N</w:t>
      </w:r>
      <w:r w:rsidR="00F33D3E">
        <w:rPr>
          <w:b/>
          <w:bCs/>
          <w:noProof/>
          <w:lang w:eastAsia="fr-FR"/>
        </w:rPr>
        <w:t xml:space="preserve">ational </w:t>
      </w:r>
      <w:r w:rsidRPr="00387F0D">
        <w:rPr>
          <w:b/>
          <w:bCs/>
          <w:noProof/>
          <w:lang w:eastAsia="fr-FR"/>
        </w:rPr>
        <w:t>J</w:t>
      </w:r>
      <w:r w:rsidR="00F33D3E">
        <w:rPr>
          <w:b/>
          <w:bCs/>
          <w:noProof/>
          <w:lang w:eastAsia="fr-FR"/>
        </w:rPr>
        <w:t xml:space="preserve">udicial </w:t>
      </w:r>
      <w:r w:rsidRPr="00387F0D">
        <w:rPr>
          <w:b/>
          <w:bCs/>
          <w:noProof/>
          <w:lang w:eastAsia="fr-FR"/>
        </w:rPr>
        <w:t>C</w:t>
      </w:r>
      <w:r w:rsidR="00F33D3E">
        <w:rPr>
          <w:b/>
          <w:bCs/>
          <w:noProof/>
          <w:lang w:eastAsia="fr-FR"/>
        </w:rPr>
        <w:t>ouncil</w:t>
      </w:r>
      <w:r w:rsidRPr="00387F0D">
        <w:rPr>
          <w:b/>
          <w:bCs/>
          <w:noProof/>
          <w:lang w:eastAsia="fr-FR"/>
        </w:rPr>
        <w:t xml:space="preserve"> </w:t>
      </w:r>
      <w:r w:rsidR="00333AA6">
        <w:rPr>
          <w:b/>
          <w:bCs/>
          <w:noProof/>
          <w:lang w:eastAsia="fr-FR"/>
        </w:rPr>
        <w:t>has approved</w:t>
      </w:r>
      <w:r w:rsidRPr="00387F0D">
        <w:rPr>
          <w:b/>
          <w:bCs/>
          <w:noProof/>
          <w:lang w:eastAsia="fr-FR"/>
        </w:rPr>
        <w:t xml:space="preserve"> the findings of a report exploring measures to make the </w:t>
      </w:r>
      <w:r>
        <w:rPr>
          <w:b/>
          <w:bCs/>
          <w:noProof/>
          <w:lang w:eastAsia="fr-FR"/>
        </w:rPr>
        <w:t>Council</w:t>
      </w:r>
      <w:r w:rsidRPr="00387F0D">
        <w:rPr>
          <w:b/>
          <w:bCs/>
          <w:noProof/>
          <w:lang w:eastAsia="fr-FR"/>
        </w:rPr>
        <w:t xml:space="preserve"> more effective</w:t>
      </w:r>
      <w:r w:rsidRPr="00387F0D">
        <w:rPr>
          <w:b/>
          <w:bCs/>
          <w:noProof/>
          <w:lang w:val="en-IE" w:eastAsia="fr-FR"/>
        </w:rPr>
        <w:t>.</w:t>
      </w:r>
      <w:r>
        <w:rPr>
          <w:noProof/>
          <w:lang w:val="en-IE" w:eastAsia="fr-FR"/>
        </w:rPr>
        <w:t xml:space="preserve"> </w:t>
      </w:r>
      <w:r w:rsidRPr="00FB616C">
        <w:rPr>
          <w:noProof/>
          <w:lang w:val="en-IE" w:eastAsia="fr-FR"/>
        </w:rPr>
        <w:t xml:space="preserve">The report </w:t>
      </w:r>
      <w:r>
        <w:rPr>
          <w:noProof/>
          <w:lang w:val="en-IE" w:eastAsia="fr-FR"/>
        </w:rPr>
        <w:t xml:space="preserve">prepared </w:t>
      </w:r>
      <w:r w:rsidRPr="00387F0D">
        <w:rPr>
          <w:noProof/>
          <w:lang w:eastAsia="fr-FR"/>
        </w:rPr>
        <w:t xml:space="preserve">by </w:t>
      </w:r>
      <w:r>
        <w:rPr>
          <w:noProof/>
          <w:lang w:eastAsia="fr-FR"/>
        </w:rPr>
        <w:t>an</w:t>
      </w:r>
      <w:r w:rsidRPr="00387F0D">
        <w:rPr>
          <w:noProof/>
          <w:lang w:eastAsia="fr-FR"/>
        </w:rPr>
        <w:t xml:space="preserve"> ad hoc committee</w:t>
      </w:r>
      <w:r w:rsidRPr="00387F0D">
        <w:rPr>
          <w:rStyle w:val="FootnoteReference"/>
          <w:noProof/>
          <w:lang w:eastAsia="fr-FR"/>
        </w:rPr>
        <w:footnoteReference w:id="9"/>
      </w:r>
      <w:r w:rsidRPr="00387F0D">
        <w:rPr>
          <w:noProof/>
          <w:lang w:eastAsia="fr-FR"/>
        </w:rPr>
        <w:t xml:space="preserve"> </w:t>
      </w:r>
      <w:r w:rsidRPr="00FB616C">
        <w:rPr>
          <w:noProof/>
          <w:lang w:val="en-IE" w:eastAsia="fr-FR"/>
        </w:rPr>
        <w:t>proposes several amendments to the Organisation</w:t>
      </w:r>
      <w:r w:rsidR="00242B3D">
        <w:rPr>
          <w:noProof/>
          <w:lang w:val="en-IE" w:eastAsia="fr-FR"/>
        </w:rPr>
        <w:t xml:space="preserve"> and Administration</w:t>
      </w:r>
      <w:r w:rsidRPr="00FB616C">
        <w:rPr>
          <w:noProof/>
          <w:lang w:val="en-IE" w:eastAsia="fr-FR"/>
        </w:rPr>
        <w:t xml:space="preserve"> of Courts Act. These include extending the NJC’s supervisory powers </w:t>
      </w:r>
      <w:r>
        <w:rPr>
          <w:noProof/>
          <w:lang w:val="en-IE" w:eastAsia="fr-FR"/>
        </w:rPr>
        <w:t>over</w:t>
      </w:r>
      <w:r w:rsidRPr="00FB616C">
        <w:rPr>
          <w:noProof/>
          <w:lang w:val="en-IE" w:eastAsia="fr-FR"/>
        </w:rPr>
        <w:t xml:space="preserve"> the administrative activity of the </w:t>
      </w:r>
      <w:r w:rsidRPr="00FE7E29">
        <w:rPr>
          <w:i/>
          <w:iCs/>
          <w:noProof/>
          <w:lang w:val="en-IE" w:eastAsia="fr-FR"/>
        </w:rPr>
        <w:t>Kúria</w:t>
      </w:r>
      <w:r w:rsidRPr="00FB616C">
        <w:rPr>
          <w:noProof/>
          <w:lang w:val="en-IE" w:eastAsia="fr-FR"/>
        </w:rPr>
        <w:t xml:space="preserve"> President</w:t>
      </w:r>
      <w:r>
        <w:rPr>
          <w:rStyle w:val="FootnoteReference"/>
          <w:noProof/>
          <w:lang w:val="en-IE" w:eastAsia="fr-FR"/>
        </w:rPr>
        <w:footnoteReference w:id="10"/>
      </w:r>
      <w:r w:rsidRPr="00FB616C">
        <w:rPr>
          <w:noProof/>
          <w:lang w:val="en-IE" w:eastAsia="fr-FR"/>
        </w:rPr>
        <w:t>.</w:t>
      </w:r>
      <w:r>
        <w:rPr>
          <w:noProof/>
          <w:lang w:val="en-IE" w:eastAsia="fr-FR"/>
        </w:rPr>
        <w:t xml:space="preserve"> </w:t>
      </w:r>
      <w:r w:rsidRPr="00FB616C">
        <w:rPr>
          <w:noProof/>
          <w:lang w:val="en-IE" w:eastAsia="fr-FR"/>
        </w:rPr>
        <w:t xml:space="preserve">Furthermore, the report </w:t>
      </w:r>
      <w:r>
        <w:rPr>
          <w:noProof/>
          <w:lang w:val="en-IE" w:eastAsia="fr-FR"/>
        </w:rPr>
        <w:t>suggests</w:t>
      </w:r>
      <w:r w:rsidRPr="00FB616C">
        <w:rPr>
          <w:noProof/>
          <w:lang w:val="en-IE" w:eastAsia="fr-FR"/>
        </w:rPr>
        <w:t xml:space="preserve"> extending the NJC’s supervisory powers to </w:t>
      </w:r>
      <w:r>
        <w:rPr>
          <w:noProof/>
          <w:lang w:val="en-IE" w:eastAsia="fr-FR"/>
        </w:rPr>
        <w:t>also</w:t>
      </w:r>
      <w:r w:rsidRPr="00FB616C">
        <w:rPr>
          <w:noProof/>
          <w:lang w:val="en-IE" w:eastAsia="fr-FR"/>
        </w:rPr>
        <w:t xml:space="preserve"> cover the publication of calls for applications </w:t>
      </w:r>
      <w:r>
        <w:rPr>
          <w:noProof/>
          <w:lang w:val="en-IE" w:eastAsia="fr-FR"/>
        </w:rPr>
        <w:t xml:space="preserve">to judicial posts </w:t>
      </w:r>
      <w:r w:rsidRPr="00FB616C">
        <w:rPr>
          <w:noProof/>
          <w:lang w:val="en-IE" w:eastAsia="fr-FR"/>
        </w:rPr>
        <w:t xml:space="preserve">by the NOJ President and the </w:t>
      </w:r>
      <w:r w:rsidRPr="00FE7E29">
        <w:rPr>
          <w:i/>
          <w:iCs/>
          <w:noProof/>
          <w:lang w:val="en-IE" w:eastAsia="fr-FR"/>
        </w:rPr>
        <w:t>Kúria</w:t>
      </w:r>
      <w:r w:rsidRPr="00FB616C">
        <w:rPr>
          <w:noProof/>
          <w:lang w:val="en-IE" w:eastAsia="fr-FR"/>
        </w:rPr>
        <w:t xml:space="preserve"> President. It also proposes requiring the Minister of Justice to issue a new decree </w:t>
      </w:r>
      <w:r w:rsidRPr="00387F0D">
        <w:rPr>
          <w:noProof/>
          <w:lang w:val="en-IE" w:eastAsia="fr-FR"/>
        </w:rPr>
        <w:t>on the points system applicable to the assessment of applications for judicial posts, in order to enable the NJC to exercise its co-decision-making powers in that</w:t>
      </w:r>
      <w:r>
        <w:rPr>
          <w:noProof/>
          <w:lang w:val="en-IE" w:eastAsia="fr-FR"/>
        </w:rPr>
        <w:t xml:space="preserve"> respect</w:t>
      </w:r>
      <w:r w:rsidRPr="00FB616C">
        <w:rPr>
          <w:noProof/>
          <w:lang w:val="en-IE" w:eastAsia="fr-FR"/>
        </w:rPr>
        <w:t xml:space="preserve">. Additionally, the report </w:t>
      </w:r>
      <w:r>
        <w:rPr>
          <w:noProof/>
          <w:lang w:val="en-IE" w:eastAsia="fr-FR"/>
        </w:rPr>
        <w:t>suggests</w:t>
      </w:r>
      <w:r w:rsidRPr="00FB616C">
        <w:rPr>
          <w:noProof/>
          <w:lang w:val="en-IE" w:eastAsia="fr-FR"/>
        </w:rPr>
        <w:t xml:space="preserve"> changing the way </w:t>
      </w:r>
      <w:r w:rsidRPr="00FE7E29">
        <w:rPr>
          <w:i/>
          <w:iCs/>
          <w:noProof/>
          <w:lang w:val="en-IE" w:eastAsia="fr-FR"/>
        </w:rPr>
        <w:t>Kúria</w:t>
      </w:r>
      <w:r w:rsidRPr="00FB616C">
        <w:rPr>
          <w:noProof/>
          <w:lang w:val="en-IE" w:eastAsia="fr-FR"/>
        </w:rPr>
        <w:t xml:space="preserve"> judges are represented in the NJC</w:t>
      </w:r>
      <w:r>
        <w:rPr>
          <w:rStyle w:val="FootnoteReference"/>
          <w:noProof/>
          <w:lang w:val="en-IE" w:eastAsia="fr-FR"/>
        </w:rPr>
        <w:footnoteReference w:id="11"/>
      </w:r>
      <w:r w:rsidRPr="00FB616C">
        <w:rPr>
          <w:noProof/>
          <w:lang w:val="en-IE" w:eastAsia="fr-FR"/>
        </w:rPr>
        <w:t>, and introducing the possibility of re-electing NJC members</w:t>
      </w:r>
      <w:r w:rsidR="00CB4706">
        <w:rPr>
          <w:noProof/>
          <w:lang w:val="en-IE" w:eastAsia="fr-FR"/>
        </w:rPr>
        <w:t>. The NJC approved the report on</w:t>
      </w:r>
      <w:r w:rsidR="00D569E1">
        <w:rPr>
          <w:noProof/>
          <w:lang w:val="en-IE" w:eastAsia="fr-FR"/>
        </w:rPr>
        <w:t xml:space="preserve"> 1 July 2026</w:t>
      </w:r>
      <w:r>
        <w:rPr>
          <w:noProof/>
          <w:lang w:eastAsia="fr-FR"/>
        </w:rPr>
        <w:t>.</w:t>
      </w:r>
    </w:p>
    <w:p w14:paraId="14D9A9DD" w14:textId="26B980FF" w:rsidR="00FC0AF3" w:rsidRDefault="00586580" w:rsidP="00FC0AF3">
      <w:pPr>
        <w:rPr>
          <w:noProof/>
          <w:lang w:eastAsia="fr-FR"/>
        </w:rPr>
      </w:pPr>
      <w:r w:rsidRPr="002C3483">
        <w:rPr>
          <w:b/>
          <w:bCs/>
          <w:noProof/>
          <w:lang w:eastAsia="fr-FR"/>
        </w:rPr>
        <w:t>In January 2026, the N</w:t>
      </w:r>
      <w:r w:rsidR="00E4081C">
        <w:rPr>
          <w:b/>
          <w:bCs/>
          <w:noProof/>
          <w:lang w:eastAsia="fr-FR"/>
        </w:rPr>
        <w:t xml:space="preserve">ational </w:t>
      </w:r>
      <w:r w:rsidRPr="002C3483">
        <w:rPr>
          <w:b/>
          <w:bCs/>
          <w:noProof/>
          <w:lang w:eastAsia="fr-FR"/>
        </w:rPr>
        <w:t>J</w:t>
      </w:r>
      <w:r w:rsidR="00E4081C">
        <w:rPr>
          <w:b/>
          <w:bCs/>
          <w:noProof/>
          <w:lang w:eastAsia="fr-FR"/>
        </w:rPr>
        <w:t>udicial</w:t>
      </w:r>
      <w:r w:rsidRPr="002C3483">
        <w:rPr>
          <w:b/>
          <w:bCs/>
          <w:noProof/>
          <w:lang w:eastAsia="fr-FR"/>
        </w:rPr>
        <w:t xml:space="preserve"> </w:t>
      </w:r>
      <w:r w:rsidR="00E4081C">
        <w:rPr>
          <w:b/>
          <w:bCs/>
          <w:noProof/>
          <w:lang w:eastAsia="fr-FR"/>
        </w:rPr>
        <w:t xml:space="preserve">Council </w:t>
      </w:r>
      <w:r w:rsidRPr="002C3483">
        <w:rPr>
          <w:b/>
          <w:bCs/>
          <w:noProof/>
          <w:lang w:eastAsia="fr-FR"/>
        </w:rPr>
        <w:t>issued statements in defence of judges who faced undue pressure.</w:t>
      </w:r>
      <w:r>
        <w:rPr>
          <w:noProof/>
          <w:lang w:eastAsia="fr-FR"/>
        </w:rPr>
        <w:t xml:space="preserve"> </w:t>
      </w:r>
      <w:r w:rsidR="00FC0AF3" w:rsidRPr="002C3483">
        <w:rPr>
          <w:noProof/>
          <w:lang w:eastAsia="fr-FR"/>
        </w:rPr>
        <w:t>A number of judges continued to face undue pressure, particularly in relation to internal and public debates concerning key issues such as judicial independence and the freedom of expression of judges.</w:t>
      </w:r>
      <w:r w:rsidR="00FC0AF3">
        <w:rPr>
          <w:noProof/>
          <w:lang w:eastAsia="fr-FR"/>
        </w:rPr>
        <w:t xml:space="preserve"> </w:t>
      </w:r>
      <w:r w:rsidR="00FC0AF3" w:rsidRPr="0025081F">
        <w:rPr>
          <w:noProof/>
          <w:lang w:eastAsia="fr-FR"/>
        </w:rPr>
        <w:t xml:space="preserve">In November </w:t>
      </w:r>
      <w:r w:rsidR="00FC0AF3">
        <w:rPr>
          <w:noProof/>
          <w:lang w:eastAsia="fr-FR"/>
        </w:rPr>
        <w:t>and December</w:t>
      </w:r>
      <w:r w:rsidR="00FC0AF3" w:rsidRPr="0025081F">
        <w:rPr>
          <w:noProof/>
          <w:lang w:eastAsia="fr-FR"/>
        </w:rPr>
        <w:t xml:space="preserve"> 2025, </w:t>
      </w:r>
      <w:r w:rsidR="00FC0AF3">
        <w:rPr>
          <w:noProof/>
          <w:lang w:eastAsia="fr-FR"/>
        </w:rPr>
        <w:t>it was reported that several judges were subject to political attacks and smear campaigns based on leaked personal data</w:t>
      </w:r>
      <w:r w:rsidR="00FC0AF3">
        <w:rPr>
          <w:rStyle w:val="FootnoteReference"/>
          <w:noProof/>
          <w:lang w:eastAsia="fr-FR"/>
        </w:rPr>
        <w:footnoteReference w:id="12"/>
      </w:r>
      <w:r w:rsidR="00FC0AF3" w:rsidRPr="0025081F">
        <w:rPr>
          <w:noProof/>
          <w:lang w:eastAsia="fr-FR"/>
        </w:rPr>
        <w:t>.</w:t>
      </w:r>
      <w:r w:rsidR="00FC0AF3">
        <w:rPr>
          <w:noProof/>
          <w:lang w:eastAsia="fr-FR"/>
        </w:rPr>
        <w:t xml:space="preserve"> T</w:t>
      </w:r>
      <w:r w:rsidR="00FC0AF3" w:rsidRPr="00D7023C">
        <w:rPr>
          <w:noProof/>
          <w:lang w:eastAsia="fr-FR"/>
        </w:rPr>
        <w:t xml:space="preserve">he </w:t>
      </w:r>
      <w:r w:rsidR="00FC0AF3">
        <w:rPr>
          <w:noProof/>
          <w:lang w:eastAsia="fr-FR"/>
        </w:rPr>
        <w:t>presidents of the courts where the affected judges adjudicate did not condemn the attacks but</w:t>
      </w:r>
      <w:r w:rsidR="00FC0AF3" w:rsidRPr="00D7023C">
        <w:rPr>
          <w:noProof/>
          <w:lang w:eastAsia="fr-FR"/>
        </w:rPr>
        <w:t xml:space="preserve"> </w:t>
      </w:r>
      <w:r w:rsidR="00FC0AF3">
        <w:rPr>
          <w:noProof/>
          <w:lang w:eastAsia="fr-FR"/>
        </w:rPr>
        <w:t>launched</w:t>
      </w:r>
      <w:r w:rsidR="00FC0AF3" w:rsidRPr="00D7023C">
        <w:rPr>
          <w:noProof/>
          <w:lang w:eastAsia="fr-FR"/>
        </w:rPr>
        <w:t xml:space="preserve"> internal </w:t>
      </w:r>
      <w:r w:rsidR="00FC0AF3">
        <w:rPr>
          <w:noProof/>
          <w:lang w:eastAsia="fr-FR"/>
        </w:rPr>
        <w:t>investigations</w:t>
      </w:r>
      <w:r w:rsidR="00FC0AF3" w:rsidRPr="00D7023C">
        <w:rPr>
          <w:noProof/>
          <w:lang w:eastAsia="fr-FR"/>
        </w:rPr>
        <w:t xml:space="preserve"> into the integrity of th</w:t>
      </w:r>
      <w:r w:rsidR="00FC0AF3">
        <w:rPr>
          <w:noProof/>
          <w:lang w:eastAsia="fr-FR"/>
        </w:rPr>
        <w:t>ose</w:t>
      </w:r>
      <w:r w:rsidR="00FC0AF3" w:rsidRPr="00D7023C">
        <w:rPr>
          <w:noProof/>
          <w:lang w:eastAsia="fr-FR"/>
        </w:rPr>
        <w:t xml:space="preserve"> judges</w:t>
      </w:r>
      <w:r w:rsidR="00FC0AF3" w:rsidDel="008770E3">
        <w:rPr>
          <w:rStyle w:val="FootnoteReference"/>
          <w:noProof/>
          <w:lang w:eastAsia="fr-FR"/>
        </w:rPr>
        <w:footnoteReference w:id="13"/>
      </w:r>
      <w:r w:rsidR="00FC0AF3">
        <w:rPr>
          <w:noProof/>
          <w:lang w:eastAsia="fr-FR"/>
        </w:rPr>
        <w:t xml:space="preserve">, while public statements by the </w:t>
      </w:r>
      <w:r w:rsidR="00FC0AF3" w:rsidRPr="00142FE3">
        <w:rPr>
          <w:i/>
          <w:iCs/>
          <w:noProof/>
          <w:lang w:eastAsia="fr-FR"/>
        </w:rPr>
        <w:t>Kúria</w:t>
      </w:r>
      <w:r w:rsidR="00FC0AF3" w:rsidRPr="00D7023C">
        <w:rPr>
          <w:noProof/>
          <w:lang w:eastAsia="fr-FR"/>
        </w:rPr>
        <w:t xml:space="preserve"> President</w:t>
      </w:r>
      <w:r w:rsidR="00FC0AF3">
        <w:rPr>
          <w:noProof/>
          <w:lang w:eastAsia="fr-FR"/>
        </w:rPr>
        <w:t xml:space="preserve"> put into question the impartiality of the judges concerned</w:t>
      </w:r>
      <w:r w:rsidR="00FC0AF3">
        <w:rPr>
          <w:rStyle w:val="FootnoteReference"/>
          <w:noProof/>
          <w:lang w:eastAsia="fr-FR"/>
        </w:rPr>
        <w:footnoteReference w:id="14"/>
      </w:r>
      <w:r w:rsidR="00FC0AF3">
        <w:rPr>
          <w:noProof/>
          <w:lang w:eastAsia="fr-FR"/>
        </w:rPr>
        <w:t xml:space="preserve">. Subsequently, the NJC issued statements in defence of judicial independence and judges’ freedom of expression, which then led to a public debate within the NJC and between the NJC and the </w:t>
      </w:r>
      <w:r w:rsidR="00FC0AF3" w:rsidRPr="00142FE3">
        <w:rPr>
          <w:i/>
          <w:iCs/>
          <w:noProof/>
          <w:lang w:eastAsia="fr-FR"/>
        </w:rPr>
        <w:t>Kúria</w:t>
      </w:r>
      <w:r w:rsidR="00FC0AF3" w:rsidRPr="00D7023C">
        <w:rPr>
          <w:noProof/>
          <w:lang w:eastAsia="fr-FR"/>
        </w:rPr>
        <w:t xml:space="preserve"> President</w:t>
      </w:r>
      <w:r w:rsidR="00FC0AF3">
        <w:rPr>
          <w:rStyle w:val="FootnoteReference"/>
          <w:noProof/>
          <w:lang w:eastAsia="fr-FR"/>
        </w:rPr>
        <w:footnoteReference w:id="15"/>
      </w:r>
      <w:r w:rsidR="00FC0AF3">
        <w:rPr>
          <w:noProof/>
          <w:lang w:eastAsia="fr-FR"/>
        </w:rPr>
        <w:t>.</w:t>
      </w:r>
      <w:r w:rsidR="00807EAB">
        <w:rPr>
          <w:noProof/>
          <w:lang w:eastAsia="fr-FR"/>
        </w:rPr>
        <w:t xml:space="preserve"> </w:t>
      </w:r>
    </w:p>
    <w:p w14:paraId="438580C8" w14:textId="01E430FB" w:rsidR="00F9758C" w:rsidRPr="009E4E87" w:rsidRDefault="00E93F52" w:rsidP="00FC0AF3">
      <w:pPr>
        <w:rPr>
          <w:noProof/>
          <w:lang w:val="en-IE" w:eastAsia="fr-FR"/>
        </w:rPr>
      </w:pPr>
      <w:r w:rsidRPr="009E4E87">
        <w:rPr>
          <w:b/>
          <w:bCs/>
          <w:noProof/>
          <w:lang w:eastAsia="fr-FR"/>
        </w:rPr>
        <w:t xml:space="preserve">Amendments to the rules </w:t>
      </w:r>
      <w:r w:rsidR="002417F7">
        <w:rPr>
          <w:b/>
          <w:bCs/>
          <w:noProof/>
          <w:lang w:eastAsia="fr-FR"/>
        </w:rPr>
        <w:t>regarding</w:t>
      </w:r>
      <w:r w:rsidRPr="009E4E87">
        <w:rPr>
          <w:b/>
          <w:bCs/>
          <w:noProof/>
          <w:lang w:eastAsia="fr-FR"/>
        </w:rPr>
        <w:t xml:space="preserve"> </w:t>
      </w:r>
      <w:r w:rsidR="007A1433" w:rsidRPr="009E4E87">
        <w:rPr>
          <w:b/>
          <w:bCs/>
          <w:noProof/>
          <w:lang w:eastAsia="fr-FR"/>
        </w:rPr>
        <w:t xml:space="preserve">the career of judges </w:t>
      </w:r>
      <w:r w:rsidR="001B49D5">
        <w:rPr>
          <w:b/>
          <w:bCs/>
          <w:noProof/>
          <w:lang w:eastAsia="fr-FR"/>
        </w:rPr>
        <w:t>will</w:t>
      </w:r>
      <w:r w:rsidR="007A1433" w:rsidRPr="009E4E87">
        <w:rPr>
          <w:b/>
          <w:bCs/>
          <w:noProof/>
          <w:lang w:eastAsia="fr-FR"/>
        </w:rPr>
        <w:t xml:space="preserve"> further strengthen judicial independence.</w:t>
      </w:r>
      <w:r w:rsidR="007A1433">
        <w:rPr>
          <w:noProof/>
          <w:lang w:eastAsia="fr-FR"/>
        </w:rPr>
        <w:t xml:space="preserve"> </w:t>
      </w:r>
      <w:r w:rsidR="00D91D07">
        <w:rPr>
          <w:noProof/>
          <w:lang w:eastAsia="fr-FR"/>
        </w:rPr>
        <w:t xml:space="preserve">The omnibus law of June 2026 </w:t>
      </w:r>
      <w:r w:rsidR="00D91D07" w:rsidRPr="00D91D07">
        <w:rPr>
          <w:noProof/>
          <w:lang w:eastAsia="fr-FR"/>
        </w:rPr>
        <w:t>remove</w:t>
      </w:r>
      <w:r w:rsidR="00D91D07">
        <w:rPr>
          <w:noProof/>
          <w:lang w:eastAsia="fr-FR"/>
        </w:rPr>
        <w:t>d</w:t>
      </w:r>
      <w:r w:rsidR="00D91D07" w:rsidRPr="00D91D07">
        <w:rPr>
          <w:noProof/>
          <w:lang w:eastAsia="fr-FR"/>
        </w:rPr>
        <w:t xml:space="preserve"> the </w:t>
      </w:r>
      <w:r w:rsidR="00BE5E58">
        <w:rPr>
          <w:noProof/>
          <w:lang w:eastAsia="fr-FR"/>
        </w:rPr>
        <w:t>transitional provision allowing sitting</w:t>
      </w:r>
      <w:r w:rsidR="00D91D07" w:rsidRPr="00D91D07">
        <w:rPr>
          <w:noProof/>
          <w:lang w:eastAsia="fr-FR"/>
        </w:rPr>
        <w:t xml:space="preserve"> members of the Constitutional Court</w:t>
      </w:r>
      <w:r w:rsidR="0091232E">
        <w:rPr>
          <w:noProof/>
          <w:lang w:eastAsia="fr-FR"/>
        </w:rPr>
        <w:t>,</w:t>
      </w:r>
      <w:r w:rsidR="00D91D07" w:rsidRPr="00D91D07">
        <w:rPr>
          <w:noProof/>
          <w:lang w:eastAsia="fr-FR"/>
        </w:rPr>
        <w:t xml:space="preserve"> </w:t>
      </w:r>
      <w:r w:rsidR="00BE5E58">
        <w:rPr>
          <w:noProof/>
          <w:lang w:eastAsia="fr-FR"/>
        </w:rPr>
        <w:t xml:space="preserve">who have already </w:t>
      </w:r>
      <w:r w:rsidR="00D91D07" w:rsidRPr="00D91D07">
        <w:rPr>
          <w:noProof/>
          <w:lang w:eastAsia="fr-FR"/>
        </w:rPr>
        <w:t xml:space="preserve">become judges </w:t>
      </w:r>
      <w:r w:rsidR="00860DFF" w:rsidRPr="00D91D07">
        <w:rPr>
          <w:noProof/>
          <w:lang w:eastAsia="fr-FR"/>
        </w:rPr>
        <w:t>without following the normal application procedure</w:t>
      </w:r>
      <w:r w:rsidR="0091232E">
        <w:rPr>
          <w:noProof/>
          <w:lang w:eastAsia="fr-FR"/>
        </w:rPr>
        <w:t>,</w:t>
      </w:r>
      <w:r w:rsidR="00860DFF">
        <w:rPr>
          <w:noProof/>
          <w:lang w:eastAsia="fr-FR"/>
        </w:rPr>
        <w:t xml:space="preserve"> </w:t>
      </w:r>
      <w:r w:rsidR="004C0693">
        <w:rPr>
          <w:noProof/>
          <w:lang w:eastAsia="fr-FR"/>
        </w:rPr>
        <w:t xml:space="preserve">to </w:t>
      </w:r>
      <w:r w:rsidR="00D91D07" w:rsidRPr="00D91D07">
        <w:rPr>
          <w:noProof/>
          <w:lang w:eastAsia="fr-FR"/>
        </w:rPr>
        <w:t xml:space="preserve">be appointed to the </w:t>
      </w:r>
      <w:r w:rsidR="004C0693">
        <w:rPr>
          <w:noProof/>
          <w:lang w:eastAsia="fr-FR"/>
        </w:rPr>
        <w:t>regional appeal court of their choice</w:t>
      </w:r>
      <w:r w:rsidR="00860DFF">
        <w:rPr>
          <w:noProof/>
          <w:lang w:eastAsia="fr-FR"/>
        </w:rPr>
        <w:t xml:space="preserve"> </w:t>
      </w:r>
      <w:r w:rsidR="0091232E">
        <w:rPr>
          <w:noProof/>
          <w:lang w:eastAsia="fr-FR"/>
        </w:rPr>
        <w:t>after</w:t>
      </w:r>
      <w:r w:rsidR="00860DFF">
        <w:rPr>
          <w:noProof/>
          <w:lang w:eastAsia="fr-FR"/>
        </w:rPr>
        <w:t xml:space="preserve"> the</w:t>
      </w:r>
      <w:r w:rsidR="0091232E">
        <w:rPr>
          <w:noProof/>
          <w:lang w:eastAsia="fr-FR"/>
        </w:rPr>
        <w:t>ir</w:t>
      </w:r>
      <w:r w:rsidR="00860DFF">
        <w:rPr>
          <w:noProof/>
          <w:lang w:eastAsia="fr-FR"/>
        </w:rPr>
        <w:t xml:space="preserve"> service at the Constitutional Court</w:t>
      </w:r>
      <w:r w:rsidR="00BA6F94">
        <w:rPr>
          <w:rStyle w:val="FootnoteReference"/>
          <w:noProof/>
          <w:lang w:eastAsia="fr-FR"/>
        </w:rPr>
        <w:footnoteReference w:id="16"/>
      </w:r>
      <w:r w:rsidR="004C0693">
        <w:rPr>
          <w:noProof/>
          <w:lang w:eastAsia="fr-FR"/>
        </w:rPr>
        <w:t>.</w:t>
      </w:r>
      <w:r w:rsidR="00D91D07" w:rsidRPr="00D91D07">
        <w:rPr>
          <w:noProof/>
          <w:lang w:eastAsia="fr-FR"/>
        </w:rPr>
        <w:t xml:space="preserve"> </w:t>
      </w:r>
      <w:r w:rsidR="006D12C9" w:rsidRPr="006D12C9">
        <w:rPr>
          <w:noProof/>
          <w:lang w:eastAsia="fr-FR"/>
        </w:rPr>
        <w:t>In June 2026, the new Government submitted a draft constitutional amendment (‘the Seventeenth Amendment’)</w:t>
      </w:r>
      <w:r w:rsidR="006344B8">
        <w:rPr>
          <w:noProof/>
          <w:lang w:eastAsia="fr-FR"/>
        </w:rPr>
        <w:t xml:space="preserve"> for</w:t>
      </w:r>
      <w:r w:rsidR="006344B8" w:rsidRPr="006D12C9">
        <w:rPr>
          <w:noProof/>
          <w:lang w:eastAsia="fr-FR"/>
        </w:rPr>
        <w:t xml:space="preserve"> public consultation</w:t>
      </w:r>
      <w:r>
        <w:rPr>
          <w:noProof/>
          <w:lang w:val="en-IE" w:eastAsia="fr-FR"/>
        </w:rPr>
        <w:t>; it was adopted by the National Assembly on 13 July 2026 and is yet to be promulgated</w:t>
      </w:r>
      <w:r w:rsidR="006344B8">
        <w:rPr>
          <w:noProof/>
          <w:lang w:eastAsia="fr-FR"/>
        </w:rPr>
        <w:t>.</w:t>
      </w:r>
      <w:r w:rsidR="006D12C9" w:rsidRPr="006D12C9">
        <w:rPr>
          <w:noProof/>
          <w:lang w:eastAsia="fr-FR"/>
        </w:rPr>
        <w:t xml:space="preserve"> </w:t>
      </w:r>
      <w:r w:rsidR="00654218">
        <w:rPr>
          <w:noProof/>
          <w:lang w:eastAsia="fr-FR"/>
        </w:rPr>
        <w:t>T</w:t>
      </w:r>
      <w:r w:rsidR="00F9758C">
        <w:rPr>
          <w:noProof/>
          <w:lang w:eastAsia="fr-FR"/>
        </w:rPr>
        <w:t>he Seventeenth Amendment to the Fundamental Law</w:t>
      </w:r>
      <w:r w:rsidR="00C12818">
        <w:rPr>
          <w:noProof/>
          <w:lang w:eastAsia="fr-FR"/>
        </w:rPr>
        <w:t xml:space="preserve"> </w:t>
      </w:r>
      <w:r w:rsidR="009741BC">
        <w:rPr>
          <w:noProof/>
          <w:lang w:eastAsia="fr-FR"/>
        </w:rPr>
        <w:t xml:space="preserve">would allow the judiciary to play a more decisive role in the </w:t>
      </w:r>
      <w:r w:rsidR="009D77AF">
        <w:rPr>
          <w:noProof/>
          <w:lang w:eastAsia="fr-FR"/>
        </w:rPr>
        <w:t xml:space="preserve">appointment </w:t>
      </w:r>
      <w:r w:rsidR="00E237E4">
        <w:rPr>
          <w:noProof/>
          <w:lang w:eastAsia="fr-FR"/>
        </w:rPr>
        <w:t xml:space="preserve">and removal from office </w:t>
      </w:r>
      <w:r w:rsidR="00E237E4" w:rsidRPr="009E4E87">
        <w:rPr>
          <w:noProof/>
          <w:lang w:val="en-IE" w:eastAsia="fr-FR"/>
        </w:rPr>
        <w:t xml:space="preserve">of the </w:t>
      </w:r>
      <w:r w:rsidR="00E237E4" w:rsidRPr="009E4E87">
        <w:rPr>
          <w:i/>
          <w:iCs/>
          <w:noProof/>
          <w:lang w:val="en-IE" w:eastAsia="fr-FR"/>
        </w:rPr>
        <w:t>Kúria</w:t>
      </w:r>
      <w:r w:rsidR="00E237E4" w:rsidRPr="009E4E87">
        <w:rPr>
          <w:noProof/>
          <w:lang w:val="en-IE" w:eastAsia="fr-FR"/>
        </w:rPr>
        <w:t xml:space="preserve"> </w:t>
      </w:r>
      <w:r w:rsidR="00930755" w:rsidRPr="009E4E87">
        <w:rPr>
          <w:noProof/>
          <w:lang w:val="en-IE" w:eastAsia="fr-FR"/>
        </w:rPr>
        <w:t xml:space="preserve">President </w:t>
      </w:r>
      <w:r w:rsidR="00E237E4" w:rsidRPr="009E4E87">
        <w:rPr>
          <w:noProof/>
          <w:lang w:val="en-IE" w:eastAsia="fr-FR"/>
        </w:rPr>
        <w:t xml:space="preserve">and the </w:t>
      </w:r>
      <w:r w:rsidR="00930755" w:rsidRPr="009E4E87">
        <w:rPr>
          <w:noProof/>
          <w:lang w:val="en-IE" w:eastAsia="fr-FR"/>
        </w:rPr>
        <w:t xml:space="preserve">NOJ </w:t>
      </w:r>
      <w:r w:rsidR="00E237E4" w:rsidRPr="009E4E87">
        <w:rPr>
          <w:noProof/>
          <w:lang w:val="en-IE" w:eastAsia="fr-FR"/>
        </w:rPr>
        <w:t>President</w:t>
      </w:r>
      <w:r w:rsidR="004862CF">
        <w:rPr>
          <w:rStyle w:val="FootnoteReference"/>
          <w:noProof/>
          <w:lang w:val="en-IE" w:eastAsia="fr-FR"/>
        </w:rPr>
        <w:footnoteReference w:id="17"/>
      </w:r>
      <w:r w:rsidR="00930755">
        <w:rPr>
          <w:noProof/>
          <w:lang w:val="hu-HU" w:eastAsia="fr-FR"/>
        </w:rPr>
        <w:t>.</w:t>
      </w:r>
    </w:p>
    <w:p w14:paraId="7D564CDC" w14:textId="6A73280C" w:rsidR="00FC0AF3" w:rsidRPr="006536D8" w:rsidRDefault="00FC0AF3" w:rsidP="00FC0AF3">
      <w:pPr>
        <w:rPr>
          <w:noProof/>
          <w:lang w:eastAsia="fr-FR"/>
        </w:rPr>
      </w:pPr>
      <w:r w:rsidRPr="00FE471F">
        <w:rPr>
          <w:b/>
          <w:bCs/>
          <w:noProof/>
          <w:lang w:eastAsia="fr-FR"/>
        </w:rPr>
        <w:t xml:space="preserve">The </w:t>
      </w:r>
      <w:r w:rsidRPr="008C2C88">
        <w:rPr>
          <w:b/>
          <w:bCs/>
          <w:i/>
          <w:iCs/>
          <w:noProof/>
          <w:lang w:eastAsia="fr-FR"/>
        </w:rPr>
        <w:t>Kúria</w:t>
      </w:r>
      <w:r w:rsidRPr="00FE471F">
        <w:rPr>
          <w:b/>
          <w:bCs/>
          <w:noProof/>
          <w:lang w:eastAsia="fr-FR"/>
        </w:rPr>
        <w:t xml:space="preserve"> continues to enforce uniformity of case law through its uniformity panel</w:t>
      </w:r>
      <w:r>
        <w:rPr>
          <w:rStyle w:val="FootnoteReference"/>
          <w:b/>
          <w:bCs/>
          <w:noProof/>
          <w:lang w:eastAsia="fr-FR"/>
        </w:rPr>
        <w:footnoteReference w:id="18"/>
      </w:r>
      <w:r w:rsidRPr="00FE471F">
        <w:rPr>
          <w:b/>
          <w:bCs/>
          <w:noProof/>
          <w:lang w:eastAsia="fr-FR"/>
        </w:rPr>
        <w:t>.</w:t>
      </w:r>
      <w:r>
        <w:rPr>
          <w:noProof/>
          <w:lang w:eastAsia="fr-FR"/>
        </w:rPr>
        <w:t xml:space="preserve"> </w:t>
      </w:r>
      <w:r w:rsidRPr="00964326">
        <w:rPr>
          <w:noProof/>
          <w:lang w:eastAsia="fr-FR"/>
        </w:rPr>
        <w:t xml:space="preserve">From 1 January 2026, the </w:t>
      </w:r>
      <w:r w:rsidRPr="001C32BC">
        <w:rPr>
          <w:i/>
          <w:iCs/>
          <w:noProof/>
          <w:lang w:eastAsia="fr-FR"/>
        </w:rPr>
        <w:t>Kúria</w:t>
      </w:r>
      <w:r>
        <w:rPr>
          <w:noProof/>
          <w:lang w:eastAsia="fr-FR"/>
        </w:rPr>
        <w:t>’</w:t>
      </w:r>
      <w:r w:rsidRPr="00964326">
        <w:rPr>
          <w:noProof/>
          <w:lang w:eastAsia="fr-FR"/>
        </w:rPr>
        <w:t>s role in ensuring case law</w:t>
      </w:r>
      <w:r>
        <w:rPr>
          <w:noProof/>
          <w:lang w:eastAsia="fr-FR"/>
        </w:rPr>
        <w:t xml:space="preserve"> consistency</w:t>
      </w:r>
      <w:r w:rsidRPr="00964326">
        <w:rPr>
          <w:noProof/>
          <w:lang w:eastAsia="fr-FR"/>
        </w:rPr>
        <w:t xml:space="preserve"> was reinforced by expanding the scope for reviewing binding lower court judgments on </w:t>
      </w:r>
      <w:r>
        <w:rPr>
          <w:noProof/>
          <w:lang w:eastAsia="fr-FR"/>
        </w:rPr>
        <w:t>points of law</w:t>
      </w:r>
      <w:r>
        <w:rPr>
          <w:rStyle w:val="FootnoteReference"/>
          <w:noProof/>
          <w:lang w:eastAsia="fr-FR"/>
        </w:rPr>
        <w:footnoteReference w:id="19"/>
      </w:r>
      <w:r w:rsidRPr="00964326">
        <w:rPr>
          <w:noProof/>
          <w:lang w:eastAsia="fr-FR"/>
        </w:rPr>
        <w:t>.</w:t>
      </w:r>
      <w:r>
        <w:rPr>
          <w:noProof/>
          <w:lang w:eastAsia="fr-FR"/>
        </w:rPr>
        <w:t xml:space="preserve"> </w:t>
      </w:r>
      <w:r w:rsidRPr="007303B7">
        <w:rPr>
          <w:noProof/>
          <w:lang w:eastAsia="fr-FR"/>
        </w:rPr>
        <w:t xml:space="preserve">A uniformity decision of the </w:t>
      </w:r>
      <w:r w:rsidRPr="00D73C3F">
        <w:rPr>
          <w:i/>
          <w:iCs/>
          <w:noProof/>
          <w:lang w:eastAsia="fr-FR"/>
        </w:rPr>
        <w:t>Kúria</w:t>
      </w:r>
      <w:r w:rsidRPr="007303B7">
        <w:rPr>
          <w:noProof/>
          <w:lang w:eastAsia="fr-FR"/>
        </w:rPr>
        <w:t xml:space="preserve"> is binding on </w:t>
      </w:r>
      <w:r>
        <w:rPr>
          <w:noProof/>
          <w:lang w:eastAsia="fr-FR"/>
        </w:rPr>
        <w:t>all</w:t>
      </w:r>
      <w:r w:rsidRPr="007303B7">
        <w:rPr>
          <w:noProof/>
          <w:lang w:eastAsia="fr-FR"/>
        </w:rPr>
        <w:t xml:space="preserve"> courts</w:t>
      </w:r>
      <w:r>
        <w:rPr>
          <w:rStyle w:val="FootnoteReference"/>
          <w:noProof/>
          <w:lang w:eastAsia="fr-FR"/>
        </w:rPr>
        <w:footnoteReference w:id="20"/>
      </w:r>
      <w:r w:rsidRPr="007303B7">
        <w:rPr>
          <w:noProof/>
          <w:lang w:eastAsia="fr-FR"/>
        </w:rPr>
        <w:t xml:space="preserve">. </w:t>
      </w:r>
      <w:r>
        <w:rPr>
          <w:noProof/>
          <w:lang w:eastAsia="fr-FR"/>
        </w:rPr>
        <w:t xml:space="preserve">Under national law, only the </w:t>
      </w:r>
      <w:r w:rsidRPr="00884580">
        <w:rPr>
          <w:i/>
          <w:iCs/>
          <w:noProof/>
          <w:lang w:eastAsia="fr-FR"/>
        </w:rPr>
        <w:t>Kúria</w:t>
      </w:r>
      <w:r>
        <w:rPr>
          <w:noProof/>
          <w:lang w:eastAsia="fr-FR"/>
        </w:rPr>
        <w:t xml:space="preserve">’s uniformity panel may </w:t>
      </w:r>
      <w:r w:rsidRPr="007303B7">
        <w:rPr>
          <w:noProof/>
          <w:lang w:eastAsia="fr-FR"/>
        </w:rPr>
        <w:t>amend or set aside a uniformity decision</w:t>
      </w:r>
      <w:r>
        <w:rPr>
          <w:rStyle w:val="FootnoteReference"/>
          <w:noProof/>
          <w:lang w:eastAsia="fr-FR"/>
        </w:rPr>
        <w:footnoteReference w:id="21"/>
      </w:r>
      <w:r w:rsidRPr="007303B7">
        <w:rPr>
          <w:noProof/>
          <w:lang w:eastAsia="fr-FR"/>
        </w:rPr>
        <w:t>.</w:t>
      </w:r>
      <w:r>
        <w:rPr>
          <w:noProof/>
          <w:lang w:eastAsia="fr-FR"/>
        </w:rPr>
        <w:t xml:space="preserve"> Also, t</w:t>
      </w:r>
      <w:r w:rsidRPr="00635F6A">
        <w:rPr>
          <w:noProof/>
          <w:lang w:eastAsia="fr-FR"/>
        </w:rPr>
        <w:t xml:space="preserve">he adjudicating panels of the </w:t>
      </w:r>
      <w:r w:rsidRPr="00460A15">
        <w:rPr>
          <w:i/>
          <w:iCs/>
          <w:noProof/>
          <w:lang w:eastAsia="fr-FR"/>
        </w:rPr>
        <w:t>Kúria</w:t>
      </w:r>
      <w:r w:rsidRPr="00635F6A">
        <w:rPr>
          <w:noProof/>
          <w:lang w:eastAsia="fr-FR"/>
        </w:rPr>
        <w:t xml:space="preserve"> may only depart from the legal interpretation set out in the </w:t>
      </w:r>
      <w:r w:rsidRPr="00CD06F7">
        <w:rPr>
          <w:i/>
          <w:iCs/>
          <w:noProof/>
          <w:lang w:eastAsia="fr-FR"/>
        </w:rPr>
        <w:t>Kúria</w:t>
      </w:r>
      <w:r w:rsidRPr="00635F6A">
        <w:rPr>
          <w:noProof/>
          <w:lang w:eastAsia="fr-FR"/>
        </w:rPr>
        <w:t xml:space="preserve">’s published </w:t>
      </w:r>
      <w:r>
        <w:rPr>
          <w:noProof/>
          <w:lang w:eastAsia="fr-FR"/>
        </w:rPr>
        <w:t xml:space="preserve">precedent </w:t>
      </w:r>
      <w:r w:rsidRPr="00635F6A">
        <w:rPr>
          <w:noProof/>
          <w:lang w:eastAsia="fr-FR"/>
        </w:rPr>
        <w:t>decisions by initiating a uniformity procedure</w:t>
      </w:r>
      <w:r>
        <w:rPr>
          <w:noProof/>
          <w:lang w:eastAsia="fr-FR"/>
        </w:rPr>
        <w:t xml:space="preserve"> before the uniformity panel</w:t>
      </w:r>
      <w:r w:rsidRPr="00635F6A">
        <w:rPr>
          <w:noProof/>
          <w:lang w:eastAsia="fr-FR"/>
        </w:rPr>
        <w:t>.</w:t>
      </w:r>
      <w:r>
        <w:rPr>
          <w:noProof/>
          <w:lang w:eastAsia="fr-FR"/>
        </w:rPr>
        <w:t xml:space="preserve"> The </w:t>
      </w:r>
      <w:r w:rsidRPr="006A2377">
        <w:rPr>
          <w:i/>
          <w:iCs/>
          <w:noProof/>
          <w:lang w:eastAsia="fr-FR"/>
        </w:rPr>
        <w:t>Kúria</w:t>
      </w:r>
      <w:r>
        <w:rPr>
          <w:noProof/>
          <w:lang w:eastAsia="fr-FR"/>
        </w:rPr>
        <w:t xml:space="preserve"> considers that only t</w:t>
      </w:r>
      <w:r w:rsidRPr="00180B5E">
        <w:rPr>
          <w:noProof/>
          <w:lang w:eastAsia="fr-FR"/>
        </w:rPr>
        <w:t xml:space="preserve">he </w:t>
      </w:r>
      <w:r>
        <w:rPr>
          <w:noProof/>
          <w:lang w:eastAsia="fr-FR"/>
        </w:rPr>
        <w:t>uniformity p</w:t>
      </w:r>
      <w:r w:rsidRPr="00180B5E">
        <w:rPr>
          <w:noProof/>
          <w:lang w:eastAsia="fr-FR"/>
        </w:rPr>
        <w:t xml:space="preserve">anel </w:t>
      </w:r>
      <w:r>
        <w:rPr>
          <w:noProof/>
          <w:lang w:eastAsia="fr-FR"/>
        </w:rPr>
        <w:t>can</w:t>
      </w:r>
      <w:r w:rsidRPr="00180B5E">
        <w:rPr>
          <w:noProof/>
          <w:lang w:eastAsia="fr-FR"/>
        </w:rPr>
        <w:t xml:space="preserve"> </w:t>
      </w:r>
      <w:r>
        <w:rPr>
          <w:noProof/>
          <w:lang w:eastAsia="fr-FR"/>
        </w:rPr>
        <w:t>remove</w:t>
      </w:r>
      <w:r w:rsidRPr="00180B5E">
        <w:rPr>
          <w:noProof/>
          <w:lang w:eastAsia="fr-FR"/>
        </w:rPr>
        <w:t xml:space="preserve"> the binding force of the legal interpretation </w:t>
      </w:r>
      <w:r>
        <w:rPr>
          <w:noProof/>
          <w:lang w:eastAsia="fr-FR"/>
        </w:rPr>
        <w:t>provided by</w:t>
      </w:r>
      <w:r w:rsidRPr="00180B5E">
        <w:rPr>
          <w:noProof/>
          <w:lang w:eastAsia="fr-FR"/>
        </w:rPr>
        <w:t xml:space="preserve"> the </w:t>
      </w:r>
      <w:r w:rsidRPr="008C784E">
        <w:rPr>
          <w:i/>
          <w:iCs/>
          <w:noProof/>
          <w:lang w:eastAsia="fr-FR"/>
        </w:rPr>
        <w:t>Kúria</w:t>
      </w:r>
      <w:r w:rsidRPr="00180B5E">
        <w:rPr>
          <w:noProof/>
          <w:lang w:eastAsia="fr-FR"/>
        </w:rPr>
        <w:t xml:space="preserve"> </w:t>
      </w:r>
      <w:r>
        <w:rPr>
          <w:noProof/>
          <w:lang w:eastAsia="fr-FR"/>
        </w:rPr>
        <w:t xml:space="preserve">in </w:t>
      </w:r>
      <w:r w:rsidRPr="00180B5E">
        <w:rPr>
          <w:noProof/>
          <w:lang w:eastAsia="fr-FR"/>
        </w:rPr>
        <w:t xml:space="preserve">previously published </w:t>
      </w:r>
      <w:r>
        <w:rPr>
          <w:noProof/>
          <w:lang w:eastAsia="fr-FR"/>
        </w:rPr>
        <w:t xml:space="preserve">precedent </w:t>
      </w:r>
      <w:r w:rsidRPr="00180B5E">
        <w:rPr>
          <w:noProof/>
          <w:lang w:eastAsia="fr-FR"/>
        </w:rPr>
        <w:t xml:space="preserve">decisions. </w:t>
      </w:r>
      <w:r w:rsidRPr="0070666E">
        <w:rPr>
          <w:noProof/>
          <w:lang w:eastAsia="fr-FR"/>
        </w:rPr>
        <w:t xml:space="preserve">According to the </w:t>
      </w:r>
      <w:r w:rsidRPr="0070666E">
        <w:rPr>
          <w:i/>
          <w:iCs/>
          <w:noProof/>
          <w:lang w:val="hu-HU" w:eastAsia="fr-FR"/>
        </w:rPr>
        <w:t>Kúria</w:t>
      </w:r>
      <w:r w:rsidRPr="0070666E">
        <w:rPr>
          <w:noProof/>
          <w:lang w:eastAsia="fr-FR"/>
        </w:rPr>
        <w:t>,</w:t>
      </w:r>
      <w:r w:rsidRPr="0070666E" w:rsidDel="007820C0">
        <w:rPr>
          <w:noProof/>
          <w:lang w:eastAsia="fr-FR"/>
        </w:rPr>
        <w:t xml:space="preserve"> </w:t>
      </w:r>
      <w:r>
        <w:rPr>
          <w:noProof/>
          <w:lang w:eastAsia="fr-FR"/>
        </w:rPr>
        <w:t xml:space="preserve">where such precedent decision of the </w:t>
      </w:r>
      <w:r w:rsidRPr="00BD1C51">
        <w:rPr>
          <w:i/>
          <w:iCs/>
          <w:noProof/>
          <w:lang w:eastAsia="fr-FR"/>
        </w:rPr>
        <w:t>Kúria</w:t>
      </w:r>
      <w:r>
        <w:rPr>
          <w:noProof/>
          <w:lang w:eastAsia="fr-FR"/>
        </w:rPr>
        <w:t xml:space="preserve"> would be contrary to the interpretation given by </w:t>
      </w:r>
      <w:r w:rsidRPr="0070666E">
        <w:rPr>
          <w:noProof/>
          <w:lang w:eastAsia="fr-FR"/>
        </w:rPr>
        <w:t xml:space="preserve">the </w:t>
      </w:r>
      <w:r>
        <w:rPr>
          <w:noProof/>
          <w:lang w:eastAsia="fr-FR"/>
        </w:rPr>
        <w:t>Court of Justice of the EU (Court of Justice)</w:t>
      </w:r>
      <w:r w:rsidRPr="0070666E">
        <w:rPr>
          <w:noProof/>
          <w:lang w:eastAsia="fr-FR"/>
        </w:rPr>
        <w:t xml:space="preserve">, the </w:t>
      </w:r>
      <w:r w:rsidRPr="0070666E">
        <w:rPr>
          <w:i/>
          <w:noProof/>
          <w:lang w:eastAsia="fr-FR"/>
        </w:rPr>
        <w:t>Kúria</w:t>
      </w:r>
      <w:r w:rsidRPr="0070666E">
        <w:rPr>
          <w:noProof/>
          <w:lang w:eastAsia="fr-FR"/>
        </w:rPr>
        <w:t xml:space="preserve">’s uniformity panel would need to decide on the binding force of </w:t>
      </w:r>
      <w:r>
        <w:rPr>
          <w:noProof/>
          <w:lang w:eastAsia="fr-FR"/>
        </w:rPr>
        <w:t xml:space="preserve">such precedent </w:t>
      </w:r>
      <w:r w:rsidRPr="0070666E">
        <w:rPr>
          <w:noProof/>
          <w:lang w:eastAsia="fr-FR"/>
        </w:rPr>
        <w:t>decision</w:t>
      </w:r>
      <w:r>
        <w:rPr>
          <w:noProof/>
          <w:lang w:eastAsia="fr-FR"/>
        </w:rPr>
        <w:t xml:space="preserve"> of the </w:t>
      </w:r>
      <w:r w:rsidRPr="00BD1C51">
        <w:rPr>
          <w:i/>
          <w:iCs/>
          <w:noProof/>
          <w:lang w:eastAsia="fr-FR"/>
        </w:rPr>
        <w:t>K</w:t>
      </w:r>
      <w:r w:rsidRPr="00BD1C51">
        <w:rPr>
          <w:i/>
          <w:iCs/>
          <w:noProof/>
          <w:lang w:val="hu-HU" w:eastAsia="fr-FR"/>
        </w:rPr>
        <w:t>úria</w:t>
      </w:r>
      <w:r w:rsidRPr="0070666E">
        <w:rPr>
          <w:rStyle w:val="FootnoteReference"/>
          <w:noProof/>
          <w:lang w:eastAsia="fr-FR"/>
        </w:rPr>
        <w:footnoteReference w:id="22"/>
      </w:r>
      <w:r w:rsidRPr="0070666E">
        <w:rPr>
          <w:noProof/>
          <w:lang w:eastAsia="fr-FR"/>
        </w:rPr>
        <w:t>.</w:t>
      </w:r>
      <w:r>
        <w:rPr>
          <w:noProof/>
          <w:lang w:eastAsia="fr-FR"/>
        </w:rPr>
        <w:t xml:space="preserve"> In 2024, </w:t>
      </w:r>
      <w:r w:rsidRPr="0022245D">
        <w:rPr>
          <w:noProof/>
          <w:lang w:eastAsia="fr-FR"/>
        </w:rPr>
        <w:t xml:space="preserve">the </w:t>
      </w:r>
      <w:r>
        <w:rPr>
          <w:noProof/>
          <w:lang w:eastAsia="fr-FR"/>
        </w:rPr>
        <w:t>Court of Justice</w:t>
      </w:r>
      <w:r w:rsidRPr="0022245D">
        <w:rPr>
          <w:noProof/>
          <w:lang w:eastAsia="fr-FR"/>
        </w:rPr>
        <w:t xml:space="preserve"> already confirmed in a preliminary reference from a Hungarian court that any court must be able to disregard any binding ruling of a national court if it considers, in the light of the interpretation of EU law provided by the </w:t>
      </w:r>
      <w:r>
        <w:rPr>
          <w:noProof/>
          <w:lang w:eastAsia="fr-FR"/>
        </w:rPr>
        <w:t>Court of Justice</w:t>
      </w:r>
      <w:r w:rsidRPr="0022245D">
        <w:rPr>
          <w:noProof/>
          <w:lang w:eastAsia="fr-FR"/>
        </w:rPr>
        <w:t>, that such ruling is not consistent with EU law</w:t>
      </w:r>
      <w:r>
        <w:rPr>
          <w:rStyle w:val="FootnoteReference"/>
          <w:noProof/>
          <w:lang w:eastAsia="fr-FR"/>
        </w:rPr>
        <w:footnoteReference w:id="23"/>
      </w:r>
      <w:r>
        <w:rPr>
          <w:noProof/>
          <w:lang w:eastAsia="fr-FR"/>
        </w:rPr>
        <w:t>.</w:t>
      </w:r>
      <w:r w:rsidRPr="00A13D21">
        <w:rPr>
          <w:noProof/>
          <w:lang w:eastAsia="fr-FR"/>
        </w:rPr>
        <w:t xml:space="preserve"> </w:t>
      </w:r>
      <w:r w:rsidR="00930566" w:rsidRPr="00D23F2C">
        <w:rPr>
          <w:noProof/>
          <w:lang w:eastAsia="fr-FR"/>
        </w:rPr>
        <w:t xml:space="preserve">Certain uniformity </w:t>
      </w:r>
      <w:r w:rsidR="00930566" w:rsidRPr="00BE21A2">
        <w:rPr>
          <w:noProof/>
          <w:lang w:eastAsia="fr-FR"/>
        </w:rPr>
        <w:t xml:space="preserve">decisions have </w:t>
      </w:r>
      <w:r w:rsidR="00930566" w:rsidRPr="00C068BA">
        <w:rPr>
          <w:noProof/>
          <w:lang w:eastAsia="fr-FR"/>
        </w:rPr>
        <w:t>raised questions of compatibility with existing</w:t>
      </w:r>
      <w:r w:rsidR="00930566" w:rsidRPr="00BE21A2">
        <w:rPr>
          <w:noProof/>
          <w:lang w:eastAsia="fr-FR"/>
        </w:rPr>
        <w:t xml:space="preserve"> preliminary rulings of the Court of Justice</w:t>
      </w:r>
      <w:r w:rsidR="00930566" w:rsidRPr="00C068BA">
        <w:rPr>
          <w:noProof/>
          <w:lang w:eastAsia="fr-FR"/>
        </w:rPr>
        <w:t xml:space="preserve">. This has prompted </w:t>
      </w:r>
      <w:r w:rsidR="00930566" w:rsidRPr="00BE21A2">
        <w:rPr>
          <w:noProof/>
          <w:lang w:eastAsia="fr-FR"/>
        </w:rPr>
        <w:t>courts to refer further questions to the Court of Justice</w:t>
      </w:r>
      <w:r w:rsidR="00930566" w:rsidRPr="00BE21A2">
        <w:rPr>
          <w:rStyle w:val="FootnoteReference"/>
          <w:noProof/>
          <w:lang w:eastAsia="fr-FR"/>
        </w:rPr>
        <w:footnoteReference w:id="24"/>
      </w:r>
      <w:r w:rsidR="00930566" w:rsidRPr="00BE21A2">
        <w:rPr>
          <w:noProof/>
          <w:lang w:eastAsia="fr-FR"/>
        </w:rPr>
        <w:t>.</w:t>
      </w:r>
      <w:r>
        <w:rPr>
          <w:noProof/>
          <w:lang w:eastAsia="fr-FR"/>
        </w:rPr>
        <w:t xml:space="preserve"> </w:t>
      </w:r>
    </w:p>
    <w:p w14:paraId="72CFA25C" w14:textId="322DE9F4" w:rsidR="00FC0AF3" w:rsidRPr="00C57C0C" w:rsidRDefault="00FC0AF3" w:rsidP="00FC0AF3">
      <w:pPr>
        <w:rPr>
          <w:noProof/>
          <w:lang w:val="hu-HU" w:eastAsia="fr-FR"/>
        </w:rPr>
      </w:pPr>
      <w:r w:rsidRPr="007E7642">
        <w:rPr>
          <w:b/>
          <w:noProof/>
          <w:lang w:val="en-IE" w:eastAsia="fr-FR"/>
        </w:rPr>
        <w:t>There has been no</w:t>
      </w:r>
      <w:r w:rsidRPr="007E7642">
        <w:rPr>
          <w:b/>
          <w:noProof/>
          <w:lang w:eastAsia="fr-FR"/>
        </w:rPr>
        <w:t xml:space="preserve"> progress on the recommendation to improve the transparency of case allocation in lower-instance courts</w:t>
      </w:r>
      <w:r w:rsidRPr="007E7642">
        <w:rPr>
          <w:rStyle w:val="FootnoteReference"/>
          <w:b/>
          <w:noProof/>
          <w:lang w:eastAsia="fr-FR"/>
        </w:rPr>
        <w:footnoteReference w:id="25"/>
      </w:r>
      <w:r w:rsidRPr="007E7642">
        <w:rPr>
          <w:b/>
          <w:noProof/>
          <w:lang w:eastAsia="fr-FR"/>
        </w:rPr>
        <w:t>.</w:t>
      </w:r>
      <w:r>
        <w:rPr>
          <w:b/>
          <w:noProof/>
          <w:lang w:eastAsia="fr-FR"/>
        </w:rPr>
        <w:t xml:space="preserve"> </w:t>
      </w:r>
      <w:r w:rsidRPr="00BD1C51">
        <w:rPr>
          <w:bCs/>
          <w:noProof/>
          <w:lang w:eastAsia="fr-FR"/>
        </w:rPr>
        <w:t>According to the</w:t>
      </w:r>
      <w:r>
        <w:rPr>
          <w:bCs/>
          <w:noProof/>
          <w:lang w:eastAsia="fr-FR"/>
        </w:rPr>
        <w:t xml:space="preserve"> former</w:t>
      </w:r>
      <w:r w:rsidRPr="00BD1C51">
        <w:rPr>
          <w:bCs/>
          <w:noProof/>
          <w:lang w:eastAsia="fr-FR"/>
        </w:rPr>
        <w:t xml:space="preserve"> Government, there </w:t>
      </w:r>
      <w:r>
        <w:rPr>
          <w:bCs/>
          <w:noProof/>
          <w:lang w:eastAsia="fr-FR"/>
        </w:rPr>
        <w:t>wa</w:t>
      </w:r>
      <w:r w:rsidRPr="00BD1C51">
        <w:rPr>
          <w:bCs/>
          <w:noProof/>
          <w:lang w:eastAsia="fr-FR"/>
        </w:rPr>
        <w:t>s no need to revise the legislation applicable to case allocation in lower courts</w:t>
      </w:r>
      <w:r>
        <w:rPr>
          <w:rStyle w:val="FootnoteReference"/>
          <w:bCs/>
          <w:noProof/>
          <w:lang w:eastAsia="fr-FR"/>
        </w:rPr>
        <w:footnoteReference w:id="26"/>
      </w:r>
      <w:r w:rsidRPr="00BD1C51">
        <w:rPr>
          <w:bCs/>
          <w:noProof/>
          <w:lang w:eastAsia="fr-FR"/>
        </w:rPr>
        <w:t xml:space="preserve">. </w:t>
      </w:r>
      <w:r>
        <w:rPr>
          <w:noProof/>
          <w:lang w:val="en-IE" w:eastAsia="fr-FR"/>
        </w:rPr>
        <w:t>Stakeholders maintain their concerns as regards the lack of transparency of case allocation in lower courts</w:t>
      </w:r>
      <w:r>
        <w:rPr>
          <w:rStyle w:val="FootnoteReference"/>
          <w:noProof/>
          <w:lang w:eastAsia="fr-FR"/>
        </w:rPr>
        <w:footnoteReference w:id="27"/>
      </w:r>
      <w:r>
        <w:rPr>
          <w:noProof/>
          <w:lang w:eastAsia="fr-FR"/>
        </w:rPr>
        <w:t xml:space="preserve">. </w:t>
      </w:r>
      <w:r>
        <w:rPr>
          <w:bCs/>
          <w:noProof/>
          <w:lang w:eastAsia="fr-FR"/>
        </w:rPr>
        <w:t>T</w:t>
      </w:r>
      <w:r w:rsidRPr="00CD440E">
        <w:rPr>
          <w:bCs/>
          <w:noProof/>
          <w:lang w:eastAsia="fr-FR"/>
        </w:rPr>
        <w:t>he most recent survey by the European Network of Councils for the Judiciary shows that 30% of Hungarian judges believe that, over the past three years, not all cases have been allocated in accordance with the established rules, with the aim of influencing the outcome of particular cases</w:t>
      </w:r>
      <w:r>
        <w:rPr>
          <w:rStyle w:val="FootnoteReference"/>
          <w:bCs/>
          <w:noProof/>
          <w:lang w:eastAsia="fr-FR"/>
        </w:rPr>
        <w:footnoteReference w:id="28"/>
      </w:r>
      <w:r>
        <w:rPr>
          <w:bCs/>
          <w:noProof/>
          <w:lang w:eastAsia="fr-FR"/>
        </w:rPr>
        <w:t xml:space="preserve">. </w:t>
      </w:r>
      <w:r>
        <w:rPr>
          <w:noProof/>
          <w:lang w:eastAsia="fr-FR"/>
        </w:rPr>
        <w:t xml:space="preserve">Therefore, no progress has been made on the recommendation. </w:t>
      </w:r>
    </w:p>
    <w:p w14:paraId="229488CD" w14:textId="1C04D97A" w:rsidR="00FC0AF3" w:rsidRPr="006536D8" w:rsidRDefault="00FC0AF3" w:rsidP="00FC0AF3">
      <w:pPr>
        <w:rPr>
          <w:noProof/>
          <w:lang w:eastAsia="fr-FR"/>
        </w:rPr>
      </w:pPr>
      <w:r w:rsidRPr="0472A0FB">
        <w:rPr>
          <w:b/>
          <w:noProof/>
          <w:lang w:eastAsia="fr-FR"/>
        </w:rPr>
        <w:t>The election procedure for the Prosecutor General, combined with the hierarchical structure of the prosecution service, gives rise to a risk of undue political interference in individual cases.</w:t>
      </w:r>
      <w:r w:rsidRPr="0472A0FB">
        <w:rPr>
          <w:noProof/>
          <w:lang w:eastAsia="fr-FR"/>
        </w:rPr>
        <w:t xml:space="preserve"> The Prosecutor General is elected by the National Assembly without the involvement of a prosecutorial body and without strict eligibility criteria</w:t>
      </w:r>
      <w:r w:rsidRPr="0472A0FB">
        <w:rPr>
          <w:rStyle w:val="FootnoteReference"/>
          <w:noProof/>
          <w:lang w:eastAsia="fr-FR"/>
        </w:rPr>
        <w:footnoteReference w:id="29"/>
      </w:r>
      <w:r w:rsidRPr="0472A0FB">
        <w:rPr>
          <w:noProof/>
          <w:lang w:eastAsia="fr-FR"/>
        </w:rPr>
        <w:t>. Hungary has not</w:t>
      </w:r>
      <w:r w:rsidRPr="3379B311">
        <w:rPr>
          <w:noProof/>
          <w:lang w:eastAsia="fr-FR"/>
        </w:rPr>
        <w:t xml:space="preserve"> </w:t>
      </w:r>
      <w:r w:rsidRPr="0472A0FB">
        <w:rPr>
          <w:noProof/>
          <w:lang w:eastAsia="fr-FR"/>
        </w:rPr>
        <w:t>implemented the recommendation of the Venice Commission on further amending the eligibility criteria and considering the introduction of guarantees in the appointment process, such as the establishment of a Prosecutorial Council in order to de-politicise the position of the Prosecutor General</w:t>
      </w:r>
      <w:r>
        <w:rPr>
          <w:rStyle w:val="FootnoteReference"/>
          <w:noProof/>
          <w:lang w:eastAsia="fr-FR"/>
        </w:rPr>
        <w:footnoteReference w:id="30"/>
      </w:r>
      <w:r w:rsidRPr="0472A0FB">
        <w:rPr>
          <w:noProof/>
          <w:lang w:eastAsia="fr-FR"/>
        </w:rPr>
        <w:t>. The hierarchical structure of the prosecution service remains intact, which – viewed together with the lack of internal checks and balances – constitutes a risk that senior prosecutors can influence the work of subordinate prosecutors, including in individual cases</w:t>
      </w:r>
      <w:r w:rsidRPr="0472A0FB">
        <w:rPr>
          <w:rStyle w:val="FootnoteReference"/>
          <w:noProof/>
          <w:lang w:eastAsia="fr-FR"/>
        </w:rPr>
        <w:footnoteReference w:id="31"/>
      </w:r>
      <w:r w:rsidRPr="0472A0FB">
        <w:rPr>
          <w:noProof/>
          <w:lang w:eastAsia="fr-FR"/>
        </w:rPr>
        <w:t xml:space="preserve">. Hungary has </w:t>
      </w:r>
      <w:r>
        <w:rPr>
          <w:noProof/>
          <w:lang w:eastAsia="fr-FR"/>
        </w:rPr>
        <w:t xml:space="preserve">still </w:t>
      </w:r>
      <w:r w:rsidRPr="0472A0FB">
        <w:rPr>
          <w:noProof/>
          <w:lang w:eastAsia="fr-FR"/>
        </w:rPr>
        <w:t>not implemented</w:t>
      </w:r>
      <w:r w:rsidRPr="1387FF81">
        <w:rPr>
          <w:noProof/>
          <w:lang w:eastAsia="fr-FR"/>
        </w:rPr>
        <w:t xml:space="preserve"> </w:t>
      </w:r>
      <w:r w:rsidRPr="0472A0FB">
        <w:rPr>
          <w:noProof/>
          <w:lang w:eastAsia="fr-FR"/>
        </w:rPr>
        <w:t>GRECO’s recommendation to review the possibility to keep the incumbent Prosecutor General in office after the expiry of their mandate by a parliamentary minority blocking the election of a successor</w:t>
      </w:r>
      <w:r w:rsidRPr="0472A0FB">
        <w:rPr>
          <w:rStyle w:val="FootnoteReference"/>
          <w:noProof/>
          <w:lang w:eastAsia="fr-FR"/>
        </w:rPr>
        <w:footnoteReference w:id="32"/>
      </w:r>
      <w:r w:rsidRPr="0472A0FB">
        <w:rPr>
          <w:noProof/>
          <w:lang w:eastAsia="fr-FR"/>
        </w:rPr>
        <w:t xml:space="preserve">. </w:t>
      </w:r>
    </w:p>
    <w:p w14:paraId="3750F12C" w14:textId="77777777" w:rsidR="00FC0AF3" w:rsidRPr="006536D8" w:rsidRDefault="00FC0AF3" w:rsidP="00FC0AF3">
      <w:pPr>
        <w:pStyle w:val="Heading2"/>
        <w:numPr>
          <w:ilvl w:val="0"/>
          <w:numId w:val="0"/>
        </w:numPr>
        <w:rPr>
          <w:noProof/>
        </w:rPr>
      </w:pPr>
      <w:r w:rsidRPr="006536D8">
        <w:rPr>
          <w:noProof/>
        </w:rPr>
        <w:t xml:space="preserve">Quality </w:t>
      </w:r>
    </w:p>
    <w:p w14:paraId="3740F083" w14:textId="3B1A3468" w:rsidR="00FC0AF3" w:rsidRPr="006536D8" w:rsidRDefault="00FC0AF3" w:rsidP="00FC0AF3">
      <w:pPr>
        <w:rPr>
          <w:noProof/>
          <w:lang w:eastAsia="fr-FR"/>
        </w:rPr>
      </w:pPr>
      <w:r w:rsidRPr="00355F29">
        <w:rPr>
          <w:b/>
          <w:bCs/>
          <w:noProof/>
          <w:lang w:eastAsia="fr-FR"/>
        </w:rPr>
        <w:t xml:space="preserve">Salaries in the justice system have been increased further, while </w:t>
      </w:r>
      <w:r w:rsidRPr="00C068BA">
        <w:rPr>
          <w:b/>
          <w:bCs/>
          <w:noProof/>
          <w:lang w:eastAsia="fr-FR"/>
        </w:rPr>
        <w:t>no</w:t>
      </w:r>
      <w:r w:rsidRPr="08375EB0">
        <w:rPr>
          <w:b/>
          <w:bCs/>
          <w:noProof/>
          <w:lang w:eastAsia="fr-FR"/>
        </w:rPr>
        <w:t xml:space="preserve"> progress has </w:t>
      </w:r>
      <w:r w:rsidR="00565FA0">
        <w:rPr>
          <w:b/>
          <w:bCs/>
          <w:noProof/>
          <w:lang w:eastAsia="fr-FR"/>
        </w:rPr>
        <w:t xml:space="preserve">yet </w:t>
      </w:r>
      <w:r w:rsidRPr="08375EB0">
        <w:rPr>
          <w:b/>
          <w:bCs/>
          <w:noProof/>
          <w:lang w:eastAsia="fr-FR"/>
        </w:rPr>
        <w:t>been made on the recommendation to take measures to ensure that such increases are carried out in a structured way</w:t>
      </w:r>
      <w:r w:rsidRPr="08375EB0">
        <w:rPr>
          <w:rStyle w:val="FootnoteReference"/>
          <w:b/>
          <w:bCs/>
          <w:noProof/>
          <w:lang w:eastAsia="fr-FR"/>
        </w:rPr>
        <w:footnoteReference w:id="33"/>
      </w:r>
      <w:r w:rsidRPr="08375EB0">
        <w:rPr>
          <w:b/>
          <w:bCs/>
          <w:noProof/>
          <w:lang w:eastAsia="fr-FR"/>
        </w:rPr>
        <w:t xml:space="preserve">. </w:t>
      </w:r>
      <w:r w:rsidRPr="08375EB0">
        <w:rPr>
          <w:noProof/>
          <w:lang w:eastAsia="fr-FR"/>
        </w:rPr>
        <w:t>As of 1 January 2026, the National Assembly further increased the salary base for judges by 10%</w:t>
      </w:r>
      <w:r w:rsidRPr="08375EB0">
        <w:rPr>
          <w:rStyle w:val="FootnoteReference"/>
          <w:noProof/>
          <w:lang w:eastAsia="fr-FR"/>
        </w:rPr>
        <w:footnoteReference w:id="34"/>
      </w:r>
      <w:r w:rsidRPr="08375EB0">
        <w:rPr>
          <w:noProof/>
          <w:lang w:eastAsia="fr-FR"/>
        </w:rPr>
        <w:t>. According to stakeholders, the absence of automatic indexation or similar guarantees makes salary adjustments to account for inflation unpredictable</w:t>
      </w:r>
      <w:r w:rsidRPr="08375EB0">
        <w:rPr>
          <w:rStyle w:val="FootnoteReference"/>
          <w:noProof/>
          <w:lang w:eastAsia="fr-FR"/>
        </w:rPr>
        <w:footnoteReference w:id="35"/>
      </w:r>
      <w:r w:rsidRPr="08375EB0">
        <w:rPr>
          <w:noProof/>
          <w:lang w:eastAsia="fr-FR"/>
        </w:rPr>
        <w:t>. Also, the statutory system of remuneration for court staff makes their recruitment difficult in the central region</w:t>
      </w:r>
      <w:r w:rsidRPr="08375EB0">
        <w:rPr>
          <w:rStyle w:val="FootnoteReference"/>
          <w:noProof/>
          <w:lang w:eastAsia="fr-FR"/>
        </w:rPr>
        <w:footnoteReference w:id="36"/>
      </w:r>
      <w:r w:rsidRPr="08375EB0">
        <w:rPr>
          <w:noProof/>
          <w:lang w:eastAsia="fr-FR"/>
        </w:rPr>
        <w:t xml:space="preserve">. Therefore, </w:t>
      </w:r>
      <w:r w:rsidRPr="00C068BA">
        <w:rPr>
          <w:noProof/>
          <w:lang w:eastAsia="fr-FR"/>
        </w:rPr>
        <w:t>no further</w:t>
      </w:r>
      <w:r w:rsidRPr="00367173">
        <w:rPr>
          <w:noProof/>
          <w:lang w:eastAsia="fr-FR"/>
        </w:rPr>
        <w:t xml:space="preserve"> progress has </w:t>
      </w:r>
      <w:r w:rsidR="002A4B69" w:rsidRPr="00C068BA">
        <w:rPr>
          <w:noProof/>
          <w:lang w:eastAsia="fr-FR"/>
        </w:rPr>
        <w:t>yet</w:t>
      </w:r>
      <w:r w:rsidR="002A4B69">
        <w:rPr>
          <w:noProof/>
          <w:lang w:eastAsia="fr-FR"/>
        </w:rPr>
        <w:t xml:space="preserve"> </w:t>
      </w:r>
      <w:r w:rsidRPr="00367173">
        <w:rPr>
          <w:noProof/>
          <w:lang w:eastAsia="fr-FR"/>
        </w:rPr>
        <w:t>been made on the recommendation.</w:t>
      </w:r>
    </w:p>
    <w:p w14:paraId="5157AF06" w14:textId="77777777" w:rsidR="00FC0AF3" w:rsidRPr="006536D8" w:rsidRDefault="00FC0AF3" w:rsidP="00FC0AF3">
      <w:pPr>
        <w:rPr>
          <w:noProof/>
          <w:lang w:eastAsia="fr-FR"/>
        </w:rPr>
      </w:pPr>
      <w:r w:rsidRPr="00CE6A1E">
        <w:rPr>
          <w:b/>
          <w:noProof/>
          <w:lang w:eastAsia="fr-FR"/>
        </w:rPr>
        <w:t>Shortcomings in the legal aid scheme</w:t>
      </w:r>
      <w:r>
        <w:rPr>
          <w:b/>
          <w:noProof/>
          <w:lang w:eastAsia="fr-FR"/>
        </w:rPr>
        <w:t xml:space="preserve"> remain.</w:t>
      </w:r>
      <w:r>
        <w:rPr>
          <w:bCs/>
          <w:noProof/>
          <w:lang w:eastAsia="fr-FR"/>
        </w:rPr>
        <w:t xml:space="preserve"> Stakeholders pointed out that t</w:t>
      </w:r>
      <w:r w:rsidRPr="006A6119">
        <w:rPr>
          <w:bCs/>
          <w:noProof/>
          <w:lang w:eastAsia="fr-FR"/>
        </w:rPr>
        <w:t>he cost of litigation often prevents small and medium-sized enterprises from defending their economic interests in court</w:t>
      </w:r>
      <w:r>
        <w:rPr>
          <w:bCs/>
          <w:noProof/>
          <w:lang w:eastAsia="fr-FR"/>
        </w:rPr>
        <w:t>, while access to free alternative dispute resolution in front of conciliation boards has been extended</w:t>
      </w:r>
      <w:r>
        <w:rPr>
          <w:rStyle w:val="FootnoteReference"/>
          <w:bCs/>
          <w:noProof/>
          <w:lang w:eastAsia="fr-FR"/>
        </w:rPr>
        <w:footnoteReference w:id="37"/>
      </w:r>
      <w:r>
        <w:rPr>
          <w:bCs/>
          <w:noProof/>
          <w:lang w:eastAsia="fr-FR"/>
        </w:rPr>
        <w:t xml:space="preserve">. </w:t>
      </w:r>
      <w:r w:rsidRPr="005A14D6">
        <w:rPr>
          <w:bCs/>
          <w:noProof/>
          <w:lang w:eastAsia="fr-FR"/>
        </w:rPr>
        <w:t>The eligibility threshold for legal aid in</w:t>
      </w:r>
      <w:r>
        <w:rPr>
          <w:bCs/>
          <w:noProof/>
          <w:lang w:eastAsia="fr-FR"/>
        </w:rPr>
        <w:t xml:space="preserve"> </w:t>
      </w:r>
      <w:r w:rsidRPr="005A14D6">
        <w:rPr>
          <w:bCs/>
          <w:noProof/>
          <w:lang w:eastAsia="fr-FR"/>
        </w:rPr>
        <w:t xml:space="preserve">civil procedure is high, meaning that </w:t>
      </w:r>
      <w:r>
        <w:rPr>
          <w:bCs/>
          <w:noProof/>
          <w:lang w:eastAsia="fr-FR"/>
        </w:rPr>
        <w:t>even</w:t>
      </w:r>
      <w:r w:rsidRPr="005A14D6">
        <w:rPr>
          <w:bCs/>
          <w:noProof/>
          <w:lang w:eastAsia="fr-FR"/>
        </w:rPr>
        <w:t xml:space="preserve"> a person with an income well below the poverty</w:t>
      </w:r>
      <w:r>
        <w:rPr>
          <w:bCs/>
          <w:noProof/>
          <w:lang w:eastAsia="fr-FR"/>
        </w:rPr>
        <w:t xml:space="preserve"> </w:t>
      </w:r>
      <w:r w:rsidRPr="005A14D6">
        <w:rPr>
          <w:bCs/>
          <w:noProof/>
          <w:lang w:eastAsia="fr-FR"/>
        </w:rPr>
        <w:t>threshold may not be eligible for legal aid</w:t>
      </w:r>
      <w:r>
        <w:rPr>
          <w:rStyle w:val="FootnoteReference"/>
          <w:bCs/>
          <w:noProof/>
          <w:lang w:eastAsia="fr-FR"/>
        </w:rPr>
        <w:footnoteReference w:id="38"/>
      </w:r>
      <w:r>
        <w:rPr>
          <w:bCs/>
          <w:noProof/>
          <w:lang w:eastAsia="fr-FR"/>
        </w:rPr>
        <w:t xml:space="preserve">. </w:t>
      </w:r>
      <w:r w:rsidRPr="006536D8">
        <w:rPr>
          <w:bCs/>
          <w:noProof/>
          <w:lang w:eastAsia="fr-FR"/>
        </w:rPr>
        <w:t xml:space="preserve">On 21 </w:t>
      </w:r>
      <w:r w:rsidRPr="006536D8">
        <w:rPr>
          <w:noProof/>
          <w:lang w:eastAsia="fr-FR"/>
        </w:rPr>
        <w:t>November 2025, the Commission opened an infringement procedure against Hungary for failing to correctly transpose EU rules on legal aid in criminal proceedings</w:t>
      </w:r>
      <w:r w:rsidRPr="006536D8">
        <w:rPr>
          <w:rStyle w:val="FootnoteReference"/>
          <w:noProof/>
          <w:lang w:eastAsia="fr-FR"/>
        </w:rPr>
        <w:footnoteReference w:id="39"/>
      </w:r>
      <w:r>
        <w:rPr>
          <w:noProof/>
          <w:lang w:eastAsia="fr-FR"/>
        </w:rPr>
        <w:t>.</w:t>
      </w:r>
      <w:r w:rsidRPr="006536D8">
        <w:rPr>
          <w:noProof/>
          <w:lang w:eastAsia="fr-FR"/>
        </w:rPr>
        <w:t xml:space="preserve"> </w:t>
      </w:r>
      <w:r>
        <w:rPr>
          <w:noProof/>
          <w:lang w:eastAsia="fr-FR"/>
        </w:rPr>
        <w:t>Although</w:t>
      </w:r>
      <w:r w:rsidRPr="00140E75">
        <w:rPr>
          <w:noProof/>
          <w:lang w:eastAsia="fr-FR"/>
        </w:rPr>
        <w:t xml:space="preserve"> </w:t>
      </w:r>
      <w:r>
        <w:rPr>
          <w:noProof/>
          <w:lang w:eastAsia="fr-FR"/>
        </w:rPr>
        <w:t xml:space="preserve">in 2026 </w:t>
      </w:r>
      <w:r w:rsidRPr="00140E75">
        <w:rPr>
          <w:noProof/>
          <w:lang w:eastAsia="fr-FR"/>
        </w:rPr>
        <w:t>the fees for defence lawyers under the legal aid scheme were raised</w:t>
      </w:r>
      <w:r>
        <w:rPr>
          <w:rStyle w:val="FootnoteReference"/>
          <w:noProof/>
          <w:lang w:eastAsia="fr-FR"/>
        </w:rPr>
        <w:footnoteReference w:id="40"/>
      </w:r>
      <w:r>
        <w:rPr>
          <w:noProof/>
          <w:lang w:eastAsia="fr-FR"/>
        </w:rPr>
        <w:t>,</w:t>
      </w:r>
      <w:r w:rsidRPr="00140E75">
        <w:rPr>
          <w:noProof/>
          <w:lang w:eastAsia="fr-FR"/>
        </w:rPr>
        <w:t xml:space="preserve"> they are still regarded as critically low, </w:t>
      </w:r>
      <w:r>
        <w:rPr>
          <w:noProof/>
          <w:lang w:eastAsia="fr-FR"/>
        </w:rPr>
        <w:t xml:space="preserve">risking to have a negative </w:t>
      </w:r>
      <w:r w:rsidRPr="00140E75">
        <w:rPr>
          <w:noProof/>
          <w:lang w:eastAsia="fr-FR"/>
        </w:rPr>
        <w:t xml:space="preserve">impact </w:t>
      </w:r>
      <w:r>
        <w:rPr>
          <w:noProof/>
          <w:lang w:eastAsia="fr-FR"/>
        </w:rPr>
        <w:t xml:space="preserve">on </w:t>
      </w:r>
      <w:r w:rsidRPr="00140E75">
        <w:rPr>
          <w:noProof/>
          <w:lang w:eastAsia="fr-FR"/>
        </w:rPr>
        <w:t>access to</w:t>
      </w:r>
      <w:r>
        <w:rPr>
          <w:noProof/>
          <w:lang w:eastAsia="fr-FR"/>
        </w:rPr>
        <w:t xml:space="preserve"> </w:t>
      </w:r>
      <w:r w:rsidRPr="00140E75">
        <w:rPr>
          <w:noProof/>
          <w:lang w:eastAsia="fr-FR"/>
        </w:rPr>
        <w:t>justice and the right to a fair trial</w:t>
      </w:r>
      <w:r>
        <w:rPr>
          <w:rStyle w:val="FootnoteReference"/>
          <w:noProof/>
          <w:lang w:eastAsia="fr-FR"/>
        </w:rPr>
        <w:footnoteReference w:id="41"/>
      </w:r>
      <w:r w:rsidRPr="00140E75">
        <w:rPr>
          <w:noProof/>
          <w:lang w:eastAsia="fr-FR"/>
        </w:rPr>
        <w:t xml:space="preserve">. </w:t>
      </w:r>
      <w:r>
        <w:rPr>
          <w:noProof/>
          <w:lang w:eastAsia="fr-FR"/>
        </w:rPr>
        <w:t>As reported in the 2025 Rule of Law Report, Hungary is lagging behind as regards s</w:t>
      </w:r>
      <w:r w:rsidRPr="004E3802">
        <w:rPr>
          <w:noProof/>
          <w:lang w:eastAsia="fr-FR"/>
        </w:rPr>
        <w:t xml:space="preserve">pecific arrangements for access to justice </w:t>
      </w:r>
      <w:r>
        <w:rPr>
          <w:noProof/>
          <w:lang w:eastAsia="fr-FR"/>
        </w:rPr>
        <w:t>for</w:t>
      </w:r>
      <w:r w:rsidRPr="004E3802">
        <w:rPr>
          <w:noProof/>
          <w:lang w:eastAsia="fr-FR"/>
        </w:rPr>
        <w:t xml:space="preserve"> persons at risk of discrimination and older persons</w:t>
      </w:r>
      <w:r>
        <w:rPr>
          <w:rStyle w:val="FootnoteReference"/>
          <w:noProof/>
          <w:lang w:eastAsia="fr-FR"/>
        </w:rPr>
        <w:footnoteReference w:id="42"/>
      </w:r>
      <w:r>
        <w:rPr>
          <w:noProof/>
          <w:lang w:eastAsia="fr-FR"/>
        </w:rPr>
        <w:t xml:space="preserve">. </w:t>
      </w:r>
    </w:p>
    <w:p w14:paraId="2BE2666D" w14:textId="77777777" w:rsidR="00FC0AF3" w:rsidRPr="006536D8" w:rsidRDefault="00FC0AF3" w:rsidP="00FC0AF3">
      <w:pPr>
        <w:rPr>
          <w:noProof/>
          <w:lang w:eastAsia="fr-FR"/>
        </w:rPr>
      </w:pPr>
      <w:r w:rsidRPr="00A43D8E">
        <w:rPr>
          <w:b/>
          <w:noProof/>
          <w:lang w:eastAsia="fr-FR"/>
        </w:rPr>
        <w:t xml:space="preserve">Overall, the level of digitalisation in the justice system </w:t>
      </w:r>
      <w:r>
        <w:rPr>
          <w:b/>
          <w:noProof/>
          <w:lang w:eastAsia="fr-FR"/>
        </w:rPr>
        <w:t>remains</w:t>
      </w:r>
      <w:r w:rsidRPr="00A43D8E">
        <w:rPr>
          <w:b/>
          <w:noProof/>
          <w:lang w:eastAsia="fr-FR"/>
        </w:rPr>
        <w:t xml:space="preserve"> </w:t>
      </w:r>
      <w:r>
        <w:rPr>
          <w:b/>
          <w:noProof/>
          <w:lang w:eastAsia="fr-FR"/>
        </w:rPr>
        <w:t xml:space="preserve">high. </w:t>
      </w:r>
      <w:r w:rsidRPr="008A0C46">
        <w:rPr>
          <w:bCs/>
          <w:noProof/>
          <w:lang w:eastAsia="fr-FR"/>
        </w:rPr>
        <w:t>Hungary performs particularly well in terms of digital solutions for initiating and tracking civil, commercial and administrative proceedings, and in providing the public with online access to published judgments</w:t>
      </w:r>
      <w:r>
        <w:rPr>
          <w:bCs/>
          <w:noProof/>
          <w:lang w:eastAsia="fr-FR"/>
        </w:rPr>
        <w:t>.</w:t>
      </w:r>
      <w:r w:rsidRPr="00636887">
        <w:rPr>
          <w:bCs/>
          <w:noProof/>
          <w:lang w:eastAsia="fr-FR"/>
        </w:rPr>
        <w:t xml:space="preserve"> </w:t>
      </w:r>
      <w:r>
        <w:rPr>
          <w:bCs/>
          <w:noProof/>
          <w:lang w:eastAsia="fr-FR"/>
        </w:rPr>
        <w:t xml:space="preserve">Also, </w:t>
      </w:r>
      <w:r w:rsidRPr="00771473">
        <w:rPr>
          <w:bCs/>
          <w:noProof/>
          <w:lang w:eastAsia="fr-FR"/>
        </w:rPr>
        <w:t xml:space="preserve">Hungary is among the top-performing Member States with regard to </w:t>
      </w:r>
      <w:r>
        <w:rPr>
          <w:bCs/>
          <w:noProof/>
          <w:lang w:eastAsia="fr-FR"/>
        </w:rPr>
        <w:t xml:space="preserve">implementation of </w:t>
      </w:r>
      <w:r w:rsidRPr="00771473">
        <w:rPr>
          <w:bCs/>
          <w:noProof/>
          <w:lang w:eastAsia="fr-FR"/>
        </w:rPr>
        <w:t>digital solutions for conducting and following court proceedings in criminal cases</w:t>
      </w:r>
      <w:r>
        <w:rPr>
          <w:rStyle w:val="FootnoteReference"/>
          <w:bCs/>
          <w:noProof/>
          <w:lang w:eastAsia="fr-FR"/>
        </w:rPr>
        <w:footnoteReference w:id="43"/>
      </w:r>
      <w:r>
        <w:rPr>
          <w:bCs/>
          <w:noProof/>
          <w:lang w:eastAsia="fr-FR"/>
        </w:rPr>
        <w:t>.</w:t>
      </w:r>
      <w:r w:rsidRPr="00325F4A">
        <w:rPr>
          <w:bCs/>
          <w:noProof/>
          <w:lang w:eastAsia="fr-FR"/>
        </w:rPr>
        <w:t xml:space="preserve"> </w:t>
      </w:r>
      <w:r w:rsidRPr="00376D51">
        <w:rPr>
          <w:bCs/>
          <w:noProof/>
          <w:lang w:eastAsia="fr-FR"/>
        </w:rPr>
        <w:t>However, stakeholders</w:t>
      </w:r>
      <w:r>
        <w:rPr>
          <w:bCs/>
          <w:noProof/>
          <w:lang w:eastAsia="fr-FR"/>
        </w:rPr>
        <w:t xml:space="preserve"> have raised</w:t>
      </w:r>
      <w:r w:rsidRPr="00376D51">
        <w:rPr>
          <w:bCs/>
          <w:noProof/>
          <w:lang w:eastAsia="fr-FR"/>
        </w:rPr>
        <w:t xml:space="preserve"> concerns about the confidentiality and reliability of communication systems</w:t>
      </w:r>
      <w:r>
        <w:rPr>
          <w:bCs/>
          <w:noProof/>
          <w:lang w:eastAsia="fr-FR"/>
        </w:rPr>
        <w:t xml:space="preserve"> in practice, which they fear may hinder an effective defence when holding hearings remotely for detained individuals</w:t>
      </w:r>
      <w:r>
        <w:rPr>
          <w:rStyle w:val="FootnoteReference"/>
          <w:bCs/>
          <w:noProof/>
          <w:lang w:eastAsia="fr-FR"/>
        </w:rPr>
        <w:footnoteReference w:id="44"/>
      </w:r>
      <w:r w:rsidRPr="006E3020">
        <w:rPr>
          <w:bCs/>
          <w:noProof/>
          <w:lang w:eastAsia="fr-FR"/>
        </w:rPr>
        <w:t>.</w:t>
      </w:r>
    </w:p>
    <w:p w14:paraId="278036FF" w14:textId="77777777" w:rsidR="00FC0AF3" w:rsidRPr="006536D8" w:rsidRDefault="00FC0AF3" w:rsidP="00FC0AF3">
      <w:pPr>
        <w:pStyle w:val="Heading2"/>
        <w:numPr>
          <w:ilvl w:val="0"/>
          <w:numId w:val="0"/>
        </w:numPr>
        <w:rPr>
          <w:noProof/>
        </w:rPr>
      </w:pPr>
      <w:r w:rsidRPr="006536D8">
        <w:rPr>
          <w:noProof/>
        </w:rPr>
        <w:t>Efficiency</w:t>
      </w:r>
    </w:p>
    <w:p w14:paraId="7CCA8E7A" w14:textId="77777777" w:rsidR="00FC0AF3" w:rsidRPr="006536D8" w:rsidRDefault="00FC0AF3" w:rsidP="00FC0AF3">
      <w:pPr>
        <w:rPr>
          <w:noProof/>
          <w:lang w:eastAsia="fr-FR"/>
        </w:rPr>
      </w:pPr>
      <w:r>
        <w:rPr>
          <w:b/>
          <w:bCs/>
          <w:noProof/>
          <w:lang w:eastAsia="fr-FR"/>
        </w:rPr>
        <w:t>T</w:t>
      </w:r>
      <w:r w:rsidRPr="0041152C">
        <w:rPr>
          <w:b/>
          <w:bCs/>
          <w:noProof/>
          <w:lang w:eastAsia="fr-FR"/>
        </w:rPr>
        <w:t>he justice system continues to perform efficiently</w:t>
      </w:r>
      <w:r w:rsidRPr="009B7CCF">
        <w:rPr>
          <w:b/>
          <w:bCs/>
          <w:noProof/>
          <w:lang w:eastAsia="fr-FR"/>
        </w:rPr>
        <w:t xml:space="preserve"> </w:t>
      </w:r>
      <w:r>
        <w:rPr>
          <w:b/>
          <w:bCs/>
          <w:noProof/>
          <w:lang w:eastAsia="fr-FR"/>
        </w:rPr>
        <w:t>o</w:t>
      </w:r>
      <w:r w:rsidRPr="0041152C">
        <w:rPr>
          <w:b/>
          <w:bCs/>
          <w:noProof/>
          <w:lang w:eastAsia="fr-FR"/>
        </w:rPr>
        <w:t>verall.</w:t>
      </w:r>
      <w:r w:rsidRPr="002836B3">
        <w:rPr>
          <w:noProof/>
          <w:lang w:eastAsia="fr-FR"/>
        </w:rPr>
        <w:t xml:space="preserve"> The time taken to reach a decision in civil and commercial cases in first instance courts has increased slightly, but at 140 days (compared to 135 days in 2023) it remains one of the lowest in the EU. The estimated time taken to resolve administrative cases at first instance increased slightly (from 125 days in 2023 to 131 days in 2024)</w:t>
      </w:r>
      <w:r>
        <w:rPr>
          <w:noProof/>
          <w:lang w:eastAsia="fr-FR"/>
        </w:rPr>
        <w:t xml:space="preserve"> </w:t>
      </w:r>
      <w:r w:rsidRPr="002836B3">
        <w:rPr>
          <w:noProof/>
          <w:lang w:eastAsia="fr-FR"/>
        </w:rPr>
        <w:t>yet remaining amongst the shortest in the EU.</w:t>
      </w:r>
      <w:r w:rsidRPr="00C81C8B">
        <w:rPr>
          <w:noProof/>
        </w:rPr>
        <w:t xml:space="preserve"> </w:t>
      </w:r>
      <w:r>
        <w:rPr>
          <w:noProof/>
        </w:rPr>
        <w:t>On 19 August 2025, new provisions of the Civil Procedure Code entered into force introducing simplified rules for certain proceedings</w:t>
      </w:r>
      <w:r>
        <w:rPr>
          <w:rStyle w:val="FootnoteReference"/>
          <w:noProof/>
        </w:rPr>
        <w:footnoteReference w:id="45"/>
      </w:r>
      <w:r>
        <w:rPr>
          <w:noProof/>
        </w:rPr>
        <w:t>.</w:t>
      </w:r>
    </w:p>
    <w:p w14:paraId="01C8E738" w14:textId="4227E2C7" w:rsidR="00FC0AF3" w:rsidRPr="006536D8" w:rsidRDefault="00FC0AF3" w:rsidP="00FC0AF3">
      <w:pPr>
        <w:rPr>
          <w:noProof/>
          <w:lang w:eastAsia="fr-FR"/>
        </w:rPr>
      </w:pPr>
      <w:r w:rsidRPr="003B46C4">
        <w:rPr>
          <w:b/>
          <w:noProof/>
          <w:lang w:eastAsia="fr-FR"/>
        </w:rPr>
        <w:t>While a compensation scheme has been introduced for contentious civil and administrative proceedings, there is still no adequate scheme for cases involving protracted criminal and non-contentious civil proceedings.</w:t>
      </w:r>
      <w:r>
        <w:rPr>
          <w:b/>
          <w:noProof/>
          <w:lang w:eastAsia="fr-FR"/>
        </w:rPr>
        <w:t xml:space="preserve"> </w:t>
      </w:r>
      <w:r w:rsidRPr="00C769B2">
        <w:rPr>
          <w:noProof/>
          <w:lang w:eastAsia="fr-FR"/>
        </w:rPr>
        <w:t xml:space="preserve">The compensation scheme introduced in civil lawsuits as of 1 January 2022 was found satisfactory </w:t>
      </w:r>
      <w:r>
        <w:rPr>
          <w:noProof/>
          <w:lang w:eastAsia="fr-FR"/>
        </w:rPr>
        <w:t xml:space="preserve">by the European Court of Human Rights </w:t>
      </w:r>
      <w:r w:rsidRPr="00C769B2">
        <w:rPr>
          <w:noProof/>
          <w:lang w:eastAsia="fr-FR"/>
        </w:rPr>
        <w:t>in 2023</w:t>
      </w:r>
      <w:r>
        <w:rPr>
          <w:rStyle w:val="FootnoteReference"/>
          <w:bCs/>
          <w:noProof/>
          <w:lang w:eastAsia="fr-FR"/>
        </w:rPr>
        <w:footnoteReference w:id="46"/>
      </w:r>
      <w:r w:rsidRPr="00C769B2">
        <w:rPr>
          <w:noProof/>
          <w:lang w:eastAsia="fr-FR"/>
        </w:rPr>
        <w:t xml:space="preserve">. </w:t>
      </w:r>
      <w:r>
        <w:rPr>
          <w:noProof/>
          <w:lang w:eastAsia="fr-FR"/>
        </w:rPr>
        <w:t xml:space="preserve">A 2025 amendment to </w:t>
      </w:r>
      <w:r w:rsidRPr="00901340">
        <w:rPr>
          <w:noProof/>
          <w:lang w:eastAsia="fr-FR"/>
        </w:rPr>
        <w:t xml:space="preserve">the procedural rules applicable to contentious civil and, as of 1 July 2026, administrative proceedings </w:t>
      </w:r>
      <w:r>
        <w:rPr>
          <w:noProof/>
          <w:lang w:eastAsia="fr-FR"/>
        </w:rPr>
        <w:t>introduce an additional compensation scheme</w:t>
      </w:r>
      <w:r>
        <w:rPr>
          <w:rStyle w:val="FootnoteReference"/>
          <w:noProof/>
          <w:lang w:eastAsia="fr-FR"/>
        </w:rPr>
        <w:footnoteReference w:id="47"/>
      </w:r>
      <w:r>
        <w:rPr>
          <w:noProof/>
          <w:lang w:eastAsia="fr-FR"/>
        </w:rPr>
        <w:t xml:space="preserve">. </w:t>
      </w:r>
      <w:r w:rsidR="00A56FAB">
        <w:rPr>
          <w:noProof/>
          <w:lang w:eastAsia="fr-FR"/>
        </w:rPr>
        <w:t>T</w:t>
      </w:r>
      <w:r>
        <w:rPr>
          <w:noProof/>
          <w:lang w:eastAsia="fr-FR"/>
        </w:rPr>
        <w:t xml:space="preserve">he new rules </w:t>
      </w:r>
      <w:r w:rsidRPr="00901340">
        <w:rPr>
          <w:noProof/>
          <w:lang w:eastAsia="fr-FR"/>
        </w:rPr>
        <w:t xml:space="preserve">oblige the court itself to pay the parties </w:t>
      </w:r>
      <w:r w:rsidRPr="00BD1C51">
        <w:rPr>
          <w:i/>
          <w:iCs/>
          <w:noProof/>
          <w:lang w:eastAsia="fr-FR"/>
        </w:rPr>
        <w:t>ex officio</w:t>
      </w:r>
      <w:r w:rsidRPr="00901340">
        <w:rPr>
          <w:noProof/>
          <w:lang w:eastAsia="fr-FR"/>
        </w:rPr>
        <w:t xml:space="preserve"> a daily lump sum as compensation for any procedural deadline breach</w:t>
      </w:r>
      <w:r>
        <w:rPr>
          <w:noProof/>
          <w:lang w:eastAsia="fr-FR"/>
        </w:rPr>
        <w:t>ed</w:t>
      </w:r>
      <w:r w:rsidRPr="00901340">
        <w:rPr>
          <w:noProof/>
          <w:lang w:eastAsia="fr-FR"/>
        </w:rPr>
        <w:t xml:space="preserve"> by the judge hearing the case</w:t>
      </w:r>
      <w:r>
        <w:rPr>
          <w:rStyle w:val="FootnoteReference"/>
          <w:noProof/>
          <w:lang w:eastAsia="fr-FR"/>
        </w:rPr>
        <w:footnoteReference w:id="48"/>
      </w:r>
      <w:r w:rsidRPr="00901340">
        <w:rPr>
          <w:noProof/>
          <w:lang w:eastAsia="fr-FR"/>
        </w:rPr>
        <w:t>.</w:t>
      </w:r>
      <w:r>
        <w:rPr>
          <w:noProof/>
          <w:lang w:eastAsia="fr-FR"/>
        </w:rPr>
        <w:t xml:space="preserve"> Stakeholders have expressed concerns as regards this new compensation scheme introduced on top of the existing one</w:t>
      </w:r>
      <w:r>
        <w:rPr>
          <w:rStyle w:val="FootnoteReference"/>
          <w:noProof/>
          <w:lang w:eastAsia="fr-FR"/>
        </w:rPr>
        <w:footnoteReference w:id="49"/>
      </w:r>
      <w:r w:rsidRPr="00175BE4">
        <w:rPr>
          <w:noProof/>
          <w:lang w:eastAsia="fr-FR"/>
        </w:rPr>
        <w:t>.</w:t>
      </w:r>
      <w:r>
        <w:rPr>
          <w:noProof/>
          <w:lang w:eastAsia="fr-FR"/>
        </w:rPr>
        <w:t xml:space="preserve"> </w:t>
      </w:r>
      <w:r w:rsidRPr="00CC5D7D">
        <w:rPr>
          <w:bCs/>
          <w:noProof/>
          <w:lang w:eastAsia="fr-FR"/>
        </w:rPr>
        <w:t>In the context of the</w:t>
      </w:r>
      <w:r>
        <w:rPr>
          <w:bCs/>
          <w:noProof/>
          <w:lang w:eastAsia="fr-FR"/>
        </w:rPr>
        <w:t xml:space="preserve"> </w:t>
      </w:r>
      <w:r w:rsidRPr="00CC5D7D">
        <w:rPr>
          <w:bCs/>
          <w:noProof/>
          <w:lang w:eastAsia="fr-FR"/>
        </w:rPr>
        <w:t xml:space="preserve">enhanced supervision of the implementation of the </w:t>
      </w:r>
      <w:r w:rsidRPr="00E00A40">
        <w:rPr>
          <w:bCs/>
          <w:i/>
          <w:iCs/>
          <w:noProof/>
          <w:lang w:eastAsia="fr-FR"/>
        </w:rPr>
        <w:t>Gazsó</w:t>
      </w:r>
      <w:r w:rsidRPr="00CC5D7D">
        <w:rPr>
          <w:bCs/>
          <w:noProof/>
          <w:lang w:eastAsia="fr-FR"/>
        </w:rPr>
        <w:t xml:space="preserve"> judgment of the European</w:t>
      </w:r>
      <w:r>
        <w:rPr>
          <w:bCs/>
          <w:noProof/>
          <w:lang w:eastAsia="fr-FR"/>
        </w:rPr>
        <w:t xml:space="preserve"> </w:t>
      </w:r>
      <w:r w:rsidRPr="00CC5D7D">
        <w:rPr>
          <w:bCs/>
          <w:noProof/>
          <w:lang w:eastAsia="fr-FR"/>
        </w:rPr>
        <w:t xml:space="preserve">Court of Human Rights, on </w:t>
      </w:r>
      <w:r>
        <w:rPr>
          <w:bCs/>
          <w:noProof/>
          <w:lang w:eastAsia="fr-FR"/>
        </w:rPr>
        <w:t>11</w:t>
      </w:r>
      <w:r w:rsidRPr="00CC5D7D">
        <w:rPr>
          <w:bCs/>
          <w:noProof/>
          <w:lang w:eastAsia="fr-FR"/>
        </w:rPr>
        <w:t xml:space="preserve"> March 202</w:t>
      </w:r>
      <w:r>
        <w:rPr>
          <w:bCs/>
          <w:noProof/>
          <w:lang w:eastAsia="fr-FR"/>
        </w:rPr>
        <w:t>6</w:t>
      </w:r>
      <w:r w:rsidRPr="00CC5D7D">
        <w:rPr>
          <w:bCs/>
          <w:noProof/>
          <w:lang w:eastAsia="fr-FR"/>
        </w:rPr>
        <w:t xml:space="preserve"> the Committee of Ministers of the Council of</w:t>
      </w:r>
      <w:r>
        <w:rPr>
          <w:bCs/>
          <w:noProof/>
          <w:lang w:eastAsia="fr-FR"/>
        </w:rPr>
        <w:t xml:space="preserve"> </w:t>
      </w:r>
      <w:r w:rsidRPr="00CC5D7D">
        <w:rPr>
          <w:bCs/>
          <w:noProof/>
          <w:lang w:eastAsia="fr-FR"/>
        </w:rPr>
        <w:t>Europe</w:t>
      </w:r>
      <w:r>
        <w:rPr>
          <w:bCs/>
          <w:noProof/>
          <w:lang w:eastAsia="fr-FR"/>
        </w:rPr>
        <w:t xml:space="preserve"> </w:t>
      </w:r>
      <w:r w:rsidRPr="00A8367C">
        <w:rPr>
          <w:bCs/>
          <w:noProof/>
          <w:lang w:eastAsia="fr-FR"/>
        </w:rPr>
        <w:t xml:space="preserve">reiterated </w:t>
      </w:r>
      <w:r w:rsidR="00F41B36">
        <w:rPr>
          <w:bCs/>
          <w:noProof/>
          <w:lang w:eastAsia="fr-FR"/>
        </w:rPr>
        <w:t>its</w:t>
      </w:r>
      <w:r w:rsidR="00F41B36" w:rsidRPr="00A8367C">
        <w:rPr>
          <w:bCs/>
          <w:noProof/>
          <w:lang w:eastAsia="fr-FR"/>
        </w:rPr>
        <w:t xml:space="preserve"> </w:t>
      </w:r>
      <w:r w:rsidRPr="00A8367C">
        <w:rPr>
          <w:bCs/>
          <w:noProof/>
          <w:lang w:eastAsia="fr-FR"/>
        </w:rPr>
        <w:t>grave concern about the continued lack of any development</w:t>
      </w:r>
      <w:r>
        <w:rPr>
          <w:bCs/>
          <w:noProof/>
          <w:lang w:eastAsia="fr-FR"/>
        </w:rPr>
        <w:t xml:space="preserve"> ‘</w:t>
      </w:r>
      <w:r w:rsidRPr="00A8367C">
        <w:rPr>
          <w:bCs/>
          <w:noProof/>
          <w:lang w:eastAsia="fr-FR"/>
        </w:rPr>
        <w:t>as regards the outstanding issue of compensatory remedy in respect of excessively long criminal, administrative, and non-contentious civil proceedings</w:t>
      </w:r>
      <w:r>
        <w:rPr>
          <w:bCs/>
          <w:noProof/>
          <w:lang w:eastAsia="fr-FR"/>
        </w:rPr>
        <w:t>’</w:t>
      </w:r>
      <w:r>
        <w:rPr>
          <w:rStyle w:val="FootnoteReference"/>
          <w:bCs/>
          <w:noProof/>
          <w:lang w:eastAsia="fr-FR"/>
        </w:rPr>
        <w:footnoteReference w:id="50"/>
      </w:r>
      <w:r>
        <w:rPr>
          <w:bCs/>
          <w:noProof/>
          <w:lang w:eastAsia="fr-FR"/>
        </w:rPr>
        <w:t xml:space="preserve">.   </w:t>
      </w:r>
    </w:p>
    <w:p w14:paraId="135AFD6D" w14:textId="02A38832" w:rsidR="00FC0AF3" w:rsidRPr="00FC0AF3" w:rsidRDefault="00FC0AF3" w:rsidP="00CF5555">
      <w:pPr>
        <w:pStyle w:val="Heading1"/>
        <w:numPr>
          <w:ilvl w:val="0"/>
          <w:numId w:val="33"/>
        </w:numPr>
        <w:spacing w:before="0"/>
        <w:rPr>
          <w:noProof/>
          <w:u w:val="single"/>
        </w:rPr>
      </w:pPr>
      <w:r w:rsidRPr="00FC0AF3">
        <w:rPr>
          <w:noProof/>
          <w:u w:val="single"/>
        </w:rPr>
        <w:t xml:space="preserve">Anti-Corruption Framework </w:t>
      </w:r>
    </w:p>
    <w:p w14:paraId="24B90D47" w14:textId="77777777" w:rsidR="00FC0AF3" w:rsidRPr="006536D8" w:rsidRDefault="00FC0AF3" w:rsidP="00FC0AF3">
      <w:pPr>
        <w:rPr>
          <w:noProof/>
          <w:kern w:val="2"/>
          <w:szCs w:val="24"/>
          <w:lang w:eastAsia="en-GB"/>
          <w14:ligatures w14:val="standardContextual"/>
        </w:rPr>
      </w:pPr>
      <w:r w:rsidRPr="006536D8">
        <w:rPr>
          <w:b/>
          <w:noProof/>
          <w:kern w:val="2"/>
          <w:szCs w:val="24"/>
          <w14:ligatures w14:val="standardContextual"/>
        </w:rPr>
        <w:t>The perception among experts</w:t>
      </w:r>
      <w:r w:rsidRPr="006536D8">
        <w:rPr>
          <w:b/>
          <w:noProof/>
          <w:szCs w:val="24"/>
        </w:rPr>
        <w:t>, citizens</w:t>
      </w:r>
      <w:r w:rsidRPr="006536D8">
        <w:rPr>
          <w:b/>
          <w:noProof/>
          <w:kern w:val="2"/>
          <w:szCs w:val="24"/>
          <w14:ligatures w14:val="standardContextual"/>
        </w:rPr>
        <w:t xml:space="preserve"> and business executives is that the level of corruption in the public sector remains high. </w:t>
      </w:r>
      <w:r w:rsidRPr="006536D8">
        <w:rPr>
          <w:noProof/>
          <w:kern w:val="2"/>
          <w:szCs w:val="24"/>
          <w14:ligatures w14:val="standardContextual"/>
        </w:rPr>
        <w:t>In the 202</w:t>
      </w:r>
      <w:r>
        <w:rPr>
          <w:noProof/>
          <w:kern w:val="2"/>
          <w:szCs w:val="24"/>
          <w14:ligatures w14:val="standardContextual"/>
        </w:rPr>
        <w:t>5</w:t>
      </w:r>
      <w:r w:rsidRPr="006536D8">
        <w:rPr>
          <w:noProof/>
          <w:kern w:val="2"/>
          <w:szCs w:val="24"/>
          <w14:ligatures w14:val="standardContextual"/>
        </w:rPr>
        <w:t xml:space="preserve"> Corruption Perceptions Index by Transparency International, Hungary scores 40/100</w:t>
      </w:r>
      <w:r w:rsidRPr="006536D8">
        <w:rPr>
          <w:noProof/>
          <w:kern w:val="2"/>
          <w:szCs w:val="24"/>
          <w:vertAlign w:val="superscript"/>
          <w14:ligatures w14:val="standardContextual"/>
        </w:rPr>
        <w:footnoteReference w:id="51"/>
      </w:r>
      <w:r w:rsidRPr="006536D8">
        <w:rPr>
          <w:noProof/>
          <w:kern w:val="2"/>
          <w:szCs w:val="24"/>
          <w14:ligatures w14:val="standardContextual"/>
        </w:rPr>
        <w:t xml:space="preserve"> and ranks </w:t>
      </w:r>
      <w:r w:rsidRPr="00FB1B4D">
        <w:rPr>
          <w:noProof/>
          <w:kern w:val="2"/>
          <w:szCs w:val="24"/>
          <w14:ligatures w14:val="standardContextual"/>
        </w:rPr>
        <w:t>26</w:t>
      </w:r>
      <w:r w:rsidRPr="00FB1B4D">
        <w:rPr>
          <w:noProof/>
          <w:kern w:val="2"/>
          <w:szCs w:val="24"/>
          <w:vertAlign w:val="superscript"/>
          <w14:ligatures w14:val="standardContextual"/>
        </w:rPr>
        <w:t>th</w:t>
      </w:r>
      <w:r w:rsidRPr="006536D8">
        <w:rPr>
          <w:noProof/>
          <w:kern w:val="2"/>
          <w:szCs w:val="24"/>
          <w14:ligatures w14:val="standardContextual"/>
        </w:rPr>
        <w:t xml:space="preserve"> in the EU and 84</w:t>
      </w:r>
      <w:r w:rsidRPr="006536D8">
        <w:rPr>
          <w:noProof/>
          <w:kern w:val="2"/>
          <w:szCs w:val="24"/>
          <w:vertAlign w:val="superscript"/>
          <w14:ligatures w14:val="standardContextual"/>
        </w:rPr>
        <w:t>th</w:t>
      </w:r>
      <w:r w:rsidRPr="006536D8">
        <w:rPr>
          <w:noProof/>
          <w:kern w:val="2"/>
          <w:szCs w:val="24"/>
          <w14:ligatures w14:val="standardContextual"/>
        </w:rPr>
        <w:t xml:space="preserve"> globally. This perception has been relatively stable over the past five years</w:t>
      </w:r>
      <w:r w:rsidRPr="006536D8">
        <w:rPr>
          <w:noProof/>
          <w:kern w:val="2"/>
          <w:szCs w:val="24"/>
          <w:vertAlign w:val="superscript"/>
          <w14:ligatures w14:val="standardContextual"/>
        </w:rPr>
        <w:footnoteReference w:id="52"/>
      </w:r>
      <w:r w:rsidRPr="006536D8">
        <w:rPr>
          <w:noProof/>
          <w:kern w:val="2"/>
          <w:szCs w:val="24"/>
          <w14:ligatures w14:val="standardContextual"/>
        </w:rPr>
        <w:t>.</w:t>
      </w:r>
      <w:r w:rsidRPr="006536D8">
        <w:rPr>
          <w:i/>
          <w:noProof/>
          <w:kern w:val="2"/>
          <w:szCs w:val="24"/>
          <w14:ligatures w14:val="standardContextual"/>
        </w:rPr>
        <w:t xml:space="preserve"> </w:t>
      </w:r>
      <w:r w:rsidRPr="006536D8">
        <w:rPr>
          <w:noProof/>
          <w:kern w:val="2"/>
          <w:szCs w:val="24"/>
          <w:lang w:eastAsia="en-GB"/>
          <w14:ligatures w14:val="standardContextual"/>
        </w:rPr>
        <w:t xml:space="preserve">The 2025 Special Eurobarometer on Corruption shows that </w:t>
      </w:r>
      <w:r w:rsidRPr="00FB1B4D">
        <w:rPr>
          <w:noProof/>
          <w:kern w:val="2"/>
          <w:szCs w:val="24"/>
          <w:lang w:eastAsia="en-GB"/>
          <w14:ligatures w14:val="standardContextual"/>
        </w:rPr>
        <w:t>83%</w:t>
      </w:r>
      <w:r w:rsidRPr="006536D8">
        <w:rPr>
          <w:noProof/>
          <w:kern w:val="2"/>
          <w:szCs w:val="24"/>
          <w:lang w:eastAsia="en-GB"/>
          <w14:ligatures w14:val="standardContextual"/>
        </w:rPr>
        <w:t xml:space="preserve"> of respondents consider corruption widespread in their country (EU average </w:t>
      </w:r>
      <w:r w:rsidRPr="00FB1B4D">
        <w:rPr>
          <w:noProof/>
          <w:kern w:val="2"/>
          <w:szCs w:val="24"/>
          <w:lang w:eastAsia="en-GB"/>
          <w14:ligatures w14:val="standardContextual"/>
        </w:rPr>
        <w:t>71%</w:t>
      </w:r>
      <w:r w:rsidRPr="006536D8">
        <w:rPr>
          <w:noProof/>
          <w:kern w:val="2"/>
          <w:szCs w:val="24"/>
          <w:lang w:eastAsia="en-GB"/>
          <w14:ligatures w14:val="standardContextual"/>
        </w:rPr>
        <w:t xml:space="preserve">) and </w:t>
      </w:r>
      <w:r w:rsidRPr="00FB1B4D">
        <w:rPr>
          <w:noProof/>
          <w:kern w:val="2"/>
          <w:szCs w:val="24"/>
          <w:lang w:eastAsia="en-GB"/>
          <w14:ligatures w14:val="standardContextual"/>
        </w:rPr>
        <w:t>35%</w:t>
      </w:r>
      <w:r w:rsidRPr="006536D8">
        <w:rPr>
          <w:noProof/>
          <w:kern w:val="2"/>
          <w:szCs w:val="24"/>
          <w:lang w:eastAsia="en-GB"/>
          <w14:ligatures w14:val="standardContextual"/>
        </w:rPr>
        <w:t xml:space="preserve"> of respondents feel personally affected by corruption in their daily lives (EU average </w:t>
      </w:r>
      <w:r w:rsidRPr="00FB1B4D">
        <w:rPr>
          <w:noProof/>
          <w:kern w:val="2"/>
          <w:szCs w:val="24"/>
          <w:lang w:eastAsia="en-GB"/>
          <w14:ligatures w14:val="standardContextual"/>
        </w:rPr>
        <w:t>30%</w:t>
      </w:r>
      <w:r w:rsidRPr="006536D8">
        <w:rPr>
          <w:noProof/>
          <w:kern w:val="2"/>
          <w:szCs w:val="24"/>
          <w:lang w:eastAsia="en-GB"/>
          <w14:ligatures w14:val="standardContextual"/>
        </w:rPr>
        <w:t xml:space="preserve">). As regards businesses, </w:t>
      </w:r>
      <w:r>
        <w:rPr>
          <w:noProof/>
          <w:kern w:val="2"/>
          <w:szCs w:val="24"/>
          <w:lang w:eastAsia="en-GB"/>
          <w14:ligatures w14:val="standardContextual"/>
        </w:rPr>
        <w:t>88</w:t>
      </w:r>
      <w:r w:rsidRPr="006536D8">
        <w:rPr>
          <w:noProof/>
          <w:kern w:val="2"/>
          <w:szCs w:val="24"/>
          <w:lang w:eastAsia="en-GB"/>
          <w14:ligatures w14:val="standardContextual"/>
        </w:rPr>
        <w:t xml:space="preserve">% of companies consider that corruption is widespread (EU average </w:t>
      </w:r>
      <w:r w:rsidRPr="00FB1B4D">
        <w:rPr>
          <w:noProof/>
          <w:kern w:val="2"/>
          <w:szCs w:val="24"/>
          <w:lang w:eastAsia="en-GB"/>
          <w14:ligatures w14:val="standardContextual"/>
        </w:rPr>
        <w:t>65%</w:t>
      </w:r>
      <w:r w:rsidRPr="006536D8">
        <w:rPr>
          <w:noProof/>
          <w:kern w:val="2"/>
          <w:szCs w:val="24"/>
          <w:lang w:eastAsia="en-GB"/>
          <w14:ligatures w14:val="standardContextual"/>
        </w:rPr>
        <w:t xml:space="preserve">) and </w:t>
      </w:r>
      <w:r w:rsidRPr="00FB1B4D">
        <w:rPr>
          <w:noProof/>
          <w:kern w:val="2"/>
          <w:szCs w:val="24"/>
          <w:lang w:eastAsia="en-GB"/>
          <w14:ligatures w14:val="standardContextual"/>
        </w:rPr>
        <w:t>56%</w:t>
      </w:r>
      <w:r w:rsidRPr="006536D8">
        <w:rPr>
          <w:noProof/>
          <w:kern w:val="2"/>
          <w:szCs w:val="24"/>
          <w:lang w:eastAsia="en-GB"/>
          <w14:ligatures w14:val="standardContextual"/>
        </w:rPr>
        <w:t xml:space="preserve"> consider that corruption is a problem when doing business (EU average </w:t>
      </w:r>
      <w:r w:rsidRPr="00FB1B4D">
        <w:rPr>
          <w:noProof/>
          <w:kern w:val="2"/>
          <w:szCs w:val="24"/>
          <w:lang w:eastAsia="en-GB"/>
          <w14:ligatures w14:val="standardContextual"/>
        </w:rPr>
        <w:t>37%</w:t>
      </w:r>
      <w:r w:rsidRPr="006536D8">
        <w:rPr>
          <w:noProof/>
          <w:kern w:val="2"/>
          <w:szCs w:val="24"/>
          <w:lang w:eastAsia="en-GB"/>
          <w14:ligatures w14:val="standardContextual"/>
        </w:rPr>
        <w:t xml:space="preserve">). Furthermore, </w:t>
      </w:r>
      <w:r w:rsidRPr="00FB1B4D">
        <w:rPr>
          <w:noProof/>
          <w:kern w:val="2"/>
          <w:szCs w:val="24"/>
          <w:lang w:eastAsia="en-GB"/>
          <w14:ligatures w14:val="standardContextual"/>
        </w:rPr>
        <w:t>43</w:t>
      </w:r>
      <w:r w:rsidRPr="006536D8">
        <w:rPr>
          <w:noProof/>
          <w:kern w:val="2"/>
          <w:szCs w:val="24"/>
          <w:lang w:eastAsia="en-GB"/>
          <w14:ligatures w14:val="standardContextual"/>
        </w:rPr>
        <w:t>% of respondents</w:t>
      </w:r>
      <w:r w:rsidRPr="006536D8">
        <w:rPr>
          <w:b/>
          <w:noProof/>
          <w:kern w:val="2"/>
          <w:szCs w:val="24"/>
          <w:lang w:eastAsia="en-GB"/>
          <w14:ligatures w14:val="standardContextual"/>
        </w:rPr>
        <w:t xml:space="preserve"> </w:t>
      </w:r>
      <w:r w:rsidRPr="006536D8">
        <w:rPr>
          <w:noProof/>
          <w:kern w:val="2"/>
          <w:szCs w:val="24"/>
          <w:lang w:eastAsia="en-GB"/>
          <w14:ligatures w14:val="standardContextual"/>
        </w:rPr>
        <w:t xml:space="preserve">find that there are enough successful prosecutions to deter people from corrupt practices (EU average </w:t>
      </w:r>
      <w:r w:rsidRPr="001658E3">
        <w:rPr>
          <w:noProof/>
          <w:kern w:val="2"/>
          <w:szCs w:val="24"/>
          <w:lang w:eastAsia="en-GB"/>
          <w14:ligatures w14:val="standardContextual"/>
        </w:rPr>
        <w:t>38</w:t>
      </w:r>
      <w:r w:rsidRPr="006536D8">
        <w:rPr>
          <w:noProof/>
          <w:kern w:val="2"/>
          <w:szCs w:val="24"/>
          <w:lang w:eastAsia="en-GB"/>
          <w14:ligatures w14:val="standardContextual"/>
        </w:rPr>
        <w:t xml:space="preserve">%), while </w:t>
      </w:r>
      <w:r>
        <w:rPr>
          <w:noProof/>
          <w:kern w:val="2"/>
          <w:szCs w:val="24"/>
          <w:lang w:eastAsia="en-GB"/>
          <w14:ligatures w14:val="standardContextual"/>
        </w:rPr>
        <w:t>13</w:t>
      </w:r>
      <w:r w:rsidRPr="006536D8">
        <w:rPr>
          <w:noProof/>
          <w:kern w:val="2"/>
          <w:szCs w:val="24"/>
          <w:lang w:eastAsia="en-GB"/>
          <w14:ligatures w14:val="standardContextual"/>
        </w:rPr>
        <w:t xml:space="preserve">% of companies believe that people and businesses caught for bribing a senior official are appropriately punished (EU average </w:t>
      </w:r>
      <w:r w:rsidRPr="00FB1B4D">
        <w:rPr>
          <w:noProof/>
          <w:kern w:val="2"/>
          <w:szCs w:val="24"/>
          <w:lang w:eastAsia="en-GB"/>
          <w14:ligatures w14:val="standardContextual"/>
        </w:rPr>
        <w:t>31</w:t>
      </w:r>
      <w:r w:rsidRPr="006536D8">
        <w:rPr>
          <w:noProof/>
          <w:kern w:val="2"/>
          <w:szCs w:val="24"/>
          <w:lang w:eastAsia="en-GB"/>
          <w14:ligatures w14:val="standardContextual"/>
        </w:rPr>
        <w:t>%)</w:t>
      </w:r>
      <w:r w:rsidRPr="006536D8">
        <w:rPr>
          <w:noProof/>
          <w:kern w:val="2"/>
          <w:szCs w:val="24"/>
          <w:vertAlign w:val="superscript"/>
          <w:lang w:eastAsia="en-GB"/>
          <w14:ligatures w14:val="standardContextual"/>
        </w:rPr>
        <w:footnoteReference w:id="53"/>
      </w:r>
      <w:r w:rsidRPr="006536D8">
        <w:rPr>
          <w:noProof/>
          <w:kern w:val="2"/>
          <w:szCs w:val="24"/>
          <w:lang w:eastAsia="en-GB"/>
          <w14:ligatures w14:val="standardContextual"/>
        </w:rPr>
        <w:t xml:space="preserve">. </w:t>
      </w:r>
    </w:p>
    <w:p w14:paraId="662A9C1D" w14:textId="6EBEF95C" w:rsidR="00BE5E7F" w:rsidRDefault="00342CE8" w:rsidP="001D5CDB">
      <w:pPr>
        <w:rPr>
          <w:b/>
          <w:bCs/>
          <w:noProof/>
          <w:kern w:val="2"/>
          <w:lang w:eastAsia="en-GB"/>
          <w14:ligatures w14:val="standardContextual"/>
        </w:rPr>
      </w:pPr>
      <w:r w:rsidRPr="00192447">
        <w:rPr>
          <w:b/>
          <w:noProof/>
          <w:lang w:eastAsia="en-GB"/>
        </w:rPr>
        <w:t>Work</w:t>
      </w:r>
      <w:r w:rsidRPr="0019644F">
        <w:rPr>
          <w:b/>
          <w:noProof/>
          <w:lang w:eastAsia="en-GB"/>
        </w:rPr>
        <w:t xml:space="preserve"> is advancing to remedy the previously identified systemic breaches to the principles of the rule of law</w:t>
      </w:r>
      <w:r w:rsidRPr="0019644F">
        <w:rPr>
          <w:noProof/>
          <w:lang w:eastAsia="en-GB"/>
        </w:rPr>
        <w:t>. To protect the EU budget against corruption and systemic breaches to the principles of the rule of law, in 2022 the Council partially suspended funds under three EU cohesion policy programmes and prohibited e</w:t>
      </w:r>
      <w:r w:rsidRPr="007922DE">
        <w:rPr>
          <w:noProof/>
          <w:lang w:eastAsia="en-GB"/>
        </w:rPr>
        <w:t>ntering into new legal commitments with public interest trusts</w:t>
      </w:r>
      <w:r w:rsidRPr="2757B946">
        <w:rPr>
          <w:noProof/>
          <w:lang w:eastAsia="en-GB"/>
        </w:rPr>
        <w:t xml:space="preserve"> </w:t>
      </w:r>
      <w:r>
        <w:rPr>
          <w:noProof/>
          <w:lang w:eastAsia="en-GB"/>
        </w:rPr>
        <w:t xml:space="preserve">(PITs) </w:t>
      </w:r>
      <w:r w:rsidRPr="2757B946">
        <w:rPr>
          <w:noProof/>
          <w:lang w:eastAsia="en-GB"/>
        </w:rPr>
        <w:t>and entities maintained by them</w:t>
      </w:r>
      <w:r w:rsidRPr="787E1E9A">
        <w:rPr>
          <w:noProof/>
          <w:lang w:eastAsia="en-GB"/>
        </w:rPr>
        <w:t>, until the breaches of the</w:t>
      </w:r>
      <w:r w:rsidRPr="09223BAC">
        <w:rPr>
          <w:noProof/>
          <w:lang w:eastAsia="en-GB"/>
        </w:rPr>
        <w:t xml:space="preserve"> </w:t>
      </w:r>
      <w:r w:rsidRPr="007922DE">
        <w:rPr>
          <w:noProof/>
          <w:lang w:eastAsia="en-GB"/>
        </w:rPr>
        <w:t>principle</w:t>
      </w:r>
      <w:r>
        <w:rPr>
          <w:noProof/>
          <w:lang w:eastAsia="en-GB"/>
        </w:rPr>
        <w:t>s</w:t>
      </w:r>
      <w:r w:rsidRPr="007922DE">
        <w:rPr>
          <w:noProof/>
          <w:lang w:eastAsia="en-GB"/>
        </w:rPr>
        <w:t xml:space="preserve"> of the rule of law and/or their effects or risks for the Union budget </w:t>
      </w:r>
      <w:r w:rsidRPr="00F31CC1">
        <w:rPr>
          <w:noProof/>
          <w:lang w:eastAsia="en-GB"/>
        </w:rPr>
        <w:t xml:space="preserve">or the Union’s financial interests </w:t>
      </w:r>
      <w:r w:rsidRPr="00C068BA">
        <w:rPr>
          <w:noProof/>
          <w:lang w:eastAsia="en-GB"/>
        </w:rPr>
        <w:t>are</w:t>
      </w:r>
      <w:r w:rsidRPr="00F31CC1">
        <w:rPr>
          <w:noProof/>
          <w:lang w:eastAsia="en-GB"/>
        </w:rPr>
        <w:t xml:space="preserve"> remedied</w:t>
      </w:r>
      <w:r w:rsidRPr="00F31CC1">
        <w:rPr>
          <w:rStyle w:val="FootnoteReference"/>
          <w:noProof/>
          <w:kern w:val="2"/>
          <w:lang w:eastAsia="en-GB"/>
          <w14:ligatures w14:val="standardContextual"/>
        </w:rPr>
        <w:footnoteReference w:id="54"/>
      </w:r>
      <w:r w:rsidRPr="00F31CC1">
        <w:rPr>
          <w:noProof/>
          <w:lang w:eastAsia="en-GB"/>
        </w:rPr>
        <w:t xml:space="preserve">. On 23 June 2026, the National Assembly adopted an omnibus law which seeks to increase transparency and </w:t>
      </w:r>
      <w:r w:rsidRPr="00C068BA">
        <w:rPr>
          <w:noProof/>
          <w:lang w:eastAsia="en-GB"/>
        </w:rPr>
        <w:t>strengthen the anti-corruption framework</w:t>
      </w:r>
      <w:r w:rsidRPr="00C068BA">
        <w:rPr>
          <w:rStyle w:val="FootnoteReference"/>
          <w:noProof/>
          <w:kern w:val="2"/>
          <w:lang w:eastAsia="en-GB"/>
          <w14:ligatures w14:val="standardContextual"/>
        </w:rPr>
        <w:footnoteReference w:id="55"/>
      </w:r>
      <w:r w:rsidRPr="00C068BA">
        <w:rPr>
          <w:noProof/>
          <w:lang w:eastAsia="en-GB"/>
        </w:rPr>
        <w:t xml:space="preserve">. </w:t>
      </w:r>
      <w:r w:rsidRPr="00F31CC1">
        <w:rPr>
          <w:noProof/>
          <w:lang w:eastAsia="en-GB"/>
        </w:rPr>
        <w:t xml:space="preserve">These legislative amendments aim to reinforce the powers of the Integrity Authority and ensure that it has access to data necessary for carrying out its work, address conflicts of interest and transparency concerns related to the operation of PITs pending their dissolution, extend judicial review of the decisions of investigative authorities and the prosecution service, increase the transparency of beneficial owner data of private equity funds, as well as increase the transparency of public procurement data and strengthen public procurement rules to facilitate competition and the prevention of corruption and conflict of interest. By delivering on the commitments undertaken in the milestones linked to the rule of law in its Recovery and Resilience Plan, Hungary aims to also </w:t>
      </w:r>
      <w:r w:rsidRPr="00C068BA">
        <w:rPr>
          <w:noProof/>
          <w:lang w:eastAsia="en-GB"/>
        </w:rPr>
        <w:t>take the necessary remedial measures</w:t>
      </w:r>
      <w:r w:rsidRPr="00F31CC1">
        <w:rPr>
          <w:noProof/>
          <w:lang w:eastAsia="en-GB"/>
        </w:rPr>
        <w:t xml:space="preserve"> for the lifting of the measures under the Conditionality Regulation procedure</w:t>
      </w:r>
      <w:r w:rsidRPr="00F31CC1">
        <w:rPr>
          <w:rStyle w:val="FootnoteReference"/>
          <w:noProof/>
          <w:kern w:val="2"/>
          <w:lang w:eastAsia="en-GB"/>
          <w14:ligatures w14:val="standardContextual"/>
        </w:rPr>
        <w:footnoteReference w:id="56"/>
      </w:r>
      <w:r w:rsidRPr="00F31CC1">
        <w:rPr>
          <w:noProof/>
          <w:lang w:eastAsia="en-GB"/>
        </w:rPr>
        <w:t>.</w:t>
      </w:r>
      <w:r w:rsidR="001D5CDB" w:rsidRPr="2757B946">
        <w:rPr>
          <w:noProof/>
          <w:lang w:eastAsia="en-GB"/>
        </w:rPr>
        <w:t xml:space="preserve"> </w:t>
      </w:r>
    </w:p>
    <w:p w14:paraId="6A3F1CA1" w14:textId="3EF4272B" w:rsidR="00FC0AF3" w:rsidRPr="006536D8" w:rsidRDefault="00FC0AF3" w:rsidP="00ED08E7">
      <w:pPr>
        <w:rPr>
          <w:rFonts w:eastAsia="Calibri"/>
          <w:noProof/>
        </w:rPr>
      </w:pPr>
      <w:r w:rsidRPr="4485DF31">
        <w:rPr>
          <w:b/>
          <w:bCs/>
          <w:noProof/>
          <w:kern w:val="2"/>
          <w:lang w:eastAsia="en-GB"/>
          <w14:ligatures w14:val="standardContextual"/>
        </w:rPr>
        <w:t xml:space="preserve">The </w:t>
      </w:r>
      <w:r>
        <w:rPr>
          <w:rFonts w:eastAsia="Calibri"/>
          <w:b/>
          <w:bCs/>
          <w:noProof/>
          <w:kern w:val="2"/>
          <w14:ligatures w14:val="standardContextual"/>
        </w:rPr>
        <w:t xml:space="preserve">timeline for implementing the </w:t>
      </w:r>
      <w:r w:rsidRPr="006536D8">
        <w:rPr>
          <w:rFonts w:eastAsia="Calibri"/>
          <w:b/>
          <w:bCs/>
          <w:noProof/>
          <w:kern w:val="2"/>
          <w14:ligatures w14:val="standardContextual"/>
        </w:rPr>
        <w:t xml:space="preserve">2024-2025 National Anti-Corruption Strategy and related Action Plan </w:t>
      </w:r>
      <w:r>
        <w:rPr>
          <w:rFonts w:eastAsia="Calibri"/>
          <w:b/>
          <w:bCs/>
          <w:noProof/>
          <w:kern w:val="2"/>
          <w14:ligatures w14:val="standardContextual"/>
        </w:rPr>
        <w:t>ended in November 2025</w:t>
      </w:r>
      <w:r w:rsidR="7083A7BE" w:rsidRPr="4485DF31">
        <w:rPr>
          <w:b/>
          <w:bCs/>
          <w:noProof/>
          <w:lang w:eastAsia="en-GB"/>
        </w:rPr>
        <w:t>and</w:t>
      </w:r>
      <w:r w:rsidR="00B72B75" w:rsidRPr="06B2604C">
        <w:rPr>
          <w:rFonts w:eastAsia="Calibri"/>
          <w:b/>
          <w:noProof/>
        </w:rPr>
        <w:t xml:space="preserve">certain </w:t>
      </w:r>
      <w:r w:rsidRPr="006536D8">
        <w:rPr>
          <w:rFonts w:eastAsia="Calibri"/>
          <w:b/>
          <w:bCs/>
          <w:noProof/>
          <w:kern w:val="2"/>
          <w14:ligatures w14:val="standardContextual"/>
        </w:rPr>
        <w:t xml:space="preserve">actions remain pending. </w:t>
      </w:r>
      <w:r w:rsidRPr="006536D8">
        <w:rPr>
          <w:rFonts w:eastAsia="Calibri"/>
          <w:noProof/>
          <w:kern w:val="2"/>
          <w14:ligatures w14:val="standardContextual"/>
        </w:rPr>
        <w:t xml:space="preserve">The </w:t>
      </w:r>
      <w:r>
        <w:rPr>
          <w:rFonts w:eastAsia="Calibri"/>
          <w:noProof/>
          <w:kern w:val="2"/>
          <w14:ligatures w14:val="standardContextual"/>
        </w:rPr>
        <w:t xml:space="preserve">former </w:t>
      </w:r>
      <w:r w:rsidRPr="006536D8">
        <w:rPr>
          <w:rFonts w:eastAsia="Calibri"/>
          <w:noProof/>
          <w:kern w:val="2"/>
          <w14:ligatures w14:val="standardContextual"/>
        </w:rPr>
        <w:t>Government report</w:t>
      </w:r>
      <w:r>
        <w:rPr>
          <w:rFonts w:eastAsia="Calibri"/>
          <w:noProof/>
          <w:kern w:val="2"/>
          <w14:ligatures w14:val="standardContextual"/>
        </w:rPr>
        <w:t>ed</w:t>
      </w:r>
      <w:r w:rsidRPr="006536D8">
        <w:rPr>
          <w:rFonts w:eastAsia="Calibri"/>
          <w:noProof/>
          <w:kern w:val="2"/>
          <w14:ligatures w14:val="standardContextual"/>
        </w:rPr>
        <w:t xml:space="preserve"> that out of 81 sub-measures defined in the Action Plan, 48 ha</w:t>
      </w:r>
      <w:r w:rsidR="00C80EA7" w:rsidRPr="06B2604C">
        <w:rPr>
          <w:rFonts w:eastAsia="Calibri"/>
          <w:noProof/>
        </w:rPr>
        <w:t>d</w:t>
      </w:r>
      <w:r w:rsidRPr="006536D8">
        <w:rPr>
          <w:rFonts w:eastAsia="Calibri"/>
          <w:noProof/>
          <w:kern w:val="2"/>
          <w14:ligatures w14:val="standardContextual"/>
        </w:rPr>
        <w:t xml:space="preserve"> been completed, while 33 are ongoing, partially implemented or contingent upon the completion of ongoing activities</w:t>
      </w:r>
      <w:r w:rsidRPr="006536D8">
        <w:rPr>
          <w:rStyle w:val="FootnoteReference"/>
          <w:rFonts w:eastAsia="Calibri"/>
          <w:noProof/>
          <w:kern w:val="2"/>
          <w14:ligatures w14:val="standardContextual"/>
        </w:rPr>
        <w:footnoteReference w:id="57"/>
      </w:r>
      <w:r w:rsidRPr="006536D8">
        <w:rPr>
          <w:rFonts w:eastAsia="Calibri"/>
          <w:noProof/>
          <w:kern w:val="2"/>
          <w14:ligatures w14:val="standardContextual"/>
        </w:rPr>
        <w:t xml:space="preserve">. An independent evaluation of the implementation of the Strategy </w:t>
      </w:r>
      <w:r w:rsidR="00112A81" w:rsidRPr="06B2604C">
        <w:rPr>
          <w:rFonts w:eastAsia="Calibri"/>
          <w:noProof/>
        </w:rPr>
        <w:t>was</w:t>
      </w:r>
      <w:r w:rsidR="007B66AA" w:rsidRPr="06B2604C">
        <w:rPr>
          <w:rFonts w:eastAsia="Calibri"/>
          <w:noProof/>
        </w:rPr>
        <w:t xml:space="preserve"> completed</w:t>
      </w:r>
      <w:r w:rsidR="003345A2" w:rsidRPr="06B2604C">
        <w:rPr>
          <w:rFonts w:eastAsia="Calibri"/>
          <w:noProof/>
        </w:rPr>
        <w:t xml:space="preserve"> in February 2026</w:t>
      </w:r>
      <w:r w:rsidRPr="006536D8">
        <w:rPr>
          <w:rFonts w:eastAsia="Calibri"/>
          <w:noProof/>
          <w:kern w:val="2"/>
          <w14:ligatures w14:val="standardContextual"/>
        </w:rPr>
        <w:t xml:space="preserve">. Important outstanding actions relate to strengthening the transparency of political party financing, reinforcing integrity of members of </w:t>
      </w:r>
      <w:r>
        <w:rPr>
          <w:rFonts w:eastAsia="Calibri"/>
          <w:noProof/>
          <w:kern w:val="2"/>
          <w14:ligatures w14:val="standardContextual"/>
        </w:rPr>
        <w:t>P</w:t>
      </w:r>
      <w:r w:rsidRPr="006536D8">
        <w:rPr>
          <w:rFonts w:eastAsia="Calibri"/>
          <w:noProof/>
          <w:kern w:val="2"/>
          <w14:ligatures w14:val="standardContextual"/>
        </w:rPr>
        <w:t xml:space="preserve">arliament and high-level officials through codes of conduct and training, as well as the adoption of legislation on lobbying. Completed actions </w:t>
      </w:r>
      <w:r w:rsidRPr="00043EE5">
        <w:rPr>
          <w:noProof/>
          <w:lang w:eastAsia="en-GB"/>
        </w:rPr>
        <w:t xml:space="preserve">mainly </w:t>
      </w:r>
      <w:r w:rsidRPr="006536D8">
        <w:rPr>
          <w:rFonts w:eastAsia="Calibri"/>
          <w:noProof/>
          <w:kern w:val="2"/>
          <w14:ligatures w14:val="standardContextual"/>
        </w:rPr>
        <w:t xml:space="preserve">concern measures </w:t>
      </w:r>
      <w:r>
        <w:rPr>
          <w:rFonts w:eastAsia="Calibri"/>
          <w:noProof/>
          <w:kern w:val="2"/>
          <w14:ligatures w14:val="standardContextual"/>
        </w:rPr>
        <w:t>such as</w:t>
      </w:r>
      <w:r w:rsidRPr="006536D8">
        <w:rPr>
          <w:rFonts w:eastAsia="Calibri"/>
          <w:noProof/>
          <w:kern w:val="2"/>
          <w14:ligatures w14:val="standardContextual"/>
        </w:rPr>
        <w:t xml:space="preserve"> risk analysis in government offices, the provision of ethics and integrity training to judges, prosecutors, police staff and civil servants, a review of the Code of Ethics of the Police, the </w:t>
      </w:r>
      <w:r>
        <w:rPr>
          <w:rFonts w:eastAsia="Calibri"/>
          <w:noProof/>
          <w:kern w:val="2"/>
          <w14:ligatures w14:val="standardContextual"/>
        </w:rPr>
        <w:t>provision</w:t>
      </w:r>
      <w:r w:rsidRPr="006536D8">
        <w:rPr>
          <w:rFonts w:eastAsia="Calibri"/>
          <w:noProof/>
          <w:kern w:val="2"/>
          <w14:ligatures w14:val="standardContextual"/>
        </w:rPr>
        <w:t xml:space="preserve"> of trainings on whistleblower protection and preparation of methodological guidance</w:t>
      </w:r>
      <w:r w:rsidRPr="006536D8">
        <w:rPr>
          <w:rStyle w:val="FootnoteReference"/>
          <w:rFonts w:eastAsia="Calibri"/>
          <w:noProof/>
          <w:kern w:val="2"/>
          <w14:ligatures w14:val="standardContextual"/>
        </w:rPr>
        <w:footnoteReference w:id="58"/>
      </w:r>
      <w:r w:rsidRPr="006536D8">
        <w:rPr>
          <w:rFonts w:eastAsia="Calibri"/>
          <w:noProof/>
          <w:kern w:val="2"/>
          <w14:ligatures w14:val="standardContextual"/>
        </w:rPr>
        <w:t>. A decision on the preparation of a follow-up Strategy is yet to be taken</w:t>
      </w:r>
      <w:r w:rsidRPr="006536D8">
        <w:rPr>
          <w:rStyle w:val="FootnoteReference"/>
          <w:rFonts w:eastAsia="Calibri"/>
          <w:noProof/>
          <w:kern w:val="2"/>
          <w14:ligatures w14:val="standardContextual"/>
        </w:rPr>
        <w:footnoteReference w:id="59"/>
      </w:r>
      <w:r w:rsidRPr="006536D8">
        <w:rPr>
          <w:rFonts w:eastAsia="Calibri"/>
          <w:noProof/>
          <w:kern w:val="2"/>
          <w14:ligatures w14:val="standardContextual"/>
        </w:rPr>
        <w:t>.</w:t>
      </w:r>
    </w:p>
    <w:p w14:paraId="54CC8242" w14:textId="269E23EB" w:rsidR="00237A12" w:rsidRDefault="0065312A" w:rsidP="00FC0AF3">
      <w:pPr>
        <w:rPr>
          <w:rFonts w:eastAsia="Calibri"/>
          <w:noProof/>
        </w:rPr>
      </w:pPr>
      <w:r w:rsidRPr="614D3F52">
        <w:rPr>
          <w:rFonts w:eastAsia="Calibri"/>
          <w:b/>
          <w:noProof/>
        </w:rPr>
        <w:t>The omnibus law of June 2026</w:t>
      </w:r>
      <w:r w:rsidR="0023787F" w:rsidRPr="614D3F52">
        <w:rPr>
          <w:rFonts w:eastAsia="Calibri"/>
          <w:b/>
          <w:noProof/>
        </w:rPr>
        <w:t xml:space="preserve"> aims to </w:t>
      </w:r>
      <w:r w:rsidR="00CA00CE" w:rsidRPr="614D3F52">
        <w:rPr>
          <w:rFonts w:eastAsia="Calibri"/>
          <w:b/>
          <w:noProof/>
        </w:rPr>
        <w:t>tackle obstacles to the effective functioning of t</w:t>
      </w:r>
      <w:r w:rsidR="00FC0AF3" w:rsidRPr="006536D8">
        <w:rPr>
          <w:rFonts w:eastAsia="Calibri"/>
          <w:b/>
          <w:bCs/>
          <w:noProof/>
          <w:kern w:val="2"/>
          <w14:ligatures w14:val="standardContextual"/>
        </w:rPr>
        <w:t>he Integrity Authority.</w:t>
      </w:r>
      <w:r w:rsidR="00FC0AF3" w:rsidRPr="006536D8">
        <w:rPr>
          <w:rFonts w:eastAsia="Calibri"/>
          <w:noProof/>
          <w:kern w:val="2"/>
          <w14:ligatures w14:val="standardContextual"/>
        </w:rPr>
        <w:t xml:space="preserve"> The Integrity Authority (IA) </w:t>
      </w:r>
      <w:r w:rsidR="006B7C3F" w:rsidRPr="614D3F52">
        <w:rPr>
          <w:rFonts w:eastAsia="Calibri"/>
          <w:noProof/>
        </w:rPr>
        <w:t>continued</w:t>
      </w:r>
      <w:r w:rsidR="00FC0AF3" w:rsidRPr="614D3F52">
        <w:rPr>
          <w:rFonts w:eastAsia="Calibri"/>
          <w:noProof/>
        </w:rPr>
        <w:t xml:space="preserve"> </w:t>
      </w:r>
      <w:r w:rsidR="00FC0AF3" w:rsidRPr="006536D8">
        <w:rPr>
          <w:rFonts w:eastAsia="Calibri"/>
          <w:noProof/>
          <w:kern w:val="2"/>
          <w14:ligatures w14:val="standardContextual"/>
        </w:rPr>
        <w:t xml:space="preserve">to report insufficient access to </w:t>
      </w:r>
      <w:r w:rsidR="00FC0AF3" w:rsidRPr="00F31CC1">
        <w:rPr>
          <w:rFonts w:eastAsia="Calibri"/>
          <w:noProof/>
          <w:kern w:val="2"/>
          <w14:ligatures w14:val="standardContextual"/>
        </w:rPr>
        <w:t>the databases needed for the full execution of its mandate</w:t>
      </w:r>
      <w:r w:rsidR="00FC0AF3" w:rsidRPr="00F31CC1">
        <w:rPr>
          <w:rStyle w:val="FootnoteReference"/>
          <w:rFonts w:eastAsia="Calibri"/>
          <w:noProof/>
          <w:kern w:val="2"/>
          <w14:ligatures w14:val="standardContextual"/>
        </w:rPr>
        <w:footnoteReference w:id="60"/>
      </w:r>
      <w:r w:rsidR="00FC0AF3" w:rsidRPr="00F31CC1">
        <w:rPr>
          <w:rFonts w:eastAsia="Calibri"/>
          <w:noProof/>
          <w:kern w:val="2"/>
          <w14:ligatures w14:val="standardContextual"/>
        </w:rPr>
        <w:t>.</w:t>
      </w:r>
      <w:r w:rsidR="0055556A" w:rsidRPr="00F31CC1">
        <w:rPr>
          <w:rFonts w:eastAsia="Calibri"/>
          <w:noProof/>
        </w:rPr>
        <w:t xml:space="preserve"> </w:t>
      </w:r>
      <w:r w:rsidR="0029042E" w:rsidRPr="00C068BA">
        <w:rPr>
          <w:rFonts w:eastAsia="Calibri"/>
          <w:noProof/>
        </w:rPr>
        <w:t>To address this issue,</w:t>
      </w:r>
      <w:r w:rsidR="0029042E" w:rsidRPr="00F31CC1">
        <w:rPr>
          <w:rFonts w:eastAsia="Calibri"/>
          <w:noProof/>
        </w:rPr>
        <w:t xml:space="preserve"> the omnibus law</w:t>
      </w:r>
      <w:r w:rsidR="0066303B" w:rsidRPr="00F31CC1">
        <w:rPr>
          <w:rFonts w:eastAsia="Calibri"/>
          <w:noProof/>
        </w:rPr>
        <w:t xml:space="preserve"> of</w:t>
      </w:r>
      <w:r w:rsidR="003E7983" w:rsidRPr="00F31CC1">
        <w:rPr>
          <w:rFonts w:eastAsia="Calibri"/>
          <w:noProof/>
        </w:rPr>
        <w:t xml:space="preserve"> June 2026 aim</w:t>
      </w:r>
      <w:r w:rsidR="00745E94" w:rsidRPr="00F31CC1">
        <w:rPr>
          <w:rFonts w:eastAsia="Calibri"/>
          <w:noProof/>
        </w:rPr>
        <w:t>s</w:t>
      </w:r>
      <w:r w:rsidR="003E7983" w:rsidRPr="00F31CC1">
        <w:rPr>
          <w:rFonts w:eastAsia="Calibri"/>
          <w:noProof/>
        </w:rPr>
        <w:t xml:space="preserve"> to strengthen the </w:t>
      </w:r>
      <w:r w:rsidR="005B5659" w:rsidRPr="00F31CC1">
        <w:rPr>
          <w:rFonts w:eastAsia="Calibri"/>
          <w:noProof/>
        </w:rPr>
        <w:t>IA</w:t>
      </w:r>
      <w:r w:rsidR="003E7983" w:rsidRPr="00F31CC1">
        <w:rPr>
          <w:rFonts w:eastAsia="Calibri"/>
          <w:noProof/>
        </w:rPr>
        <w:t xml:space="preserve">’s access to data </w:t>
      </w:r>
      <w:r w:rsidR="00253FD2" w:rsidRPr="00F31CC1">
        <w:rPr>
          <w:rFonts w:eastAsia="Calibri"/>
          <w:noProof/>
        </w:rPr>
        <w:t xml:space="preserve">in the context of </w:t>
      </w:r>
      <w:r w:rsidR="007755C1" w:rsidRPr="00F31CC1">
        <w:rPr>
          <w:rFonts w:eastAsia="Calibri"/>
          <w:noProof/>
        </w:rPr>
        <w:t>administrative</w:t>
      </w:r>
      <w:r w:rsidR="00253FD2" w:rsidRPr="00F31CC1">
        <w:rPr>
          <w:rFonts w:eastAsia="Calibri"/>
          <w:noProof/>
        </w:rPr>
        <w:t xml:space="preserve"> investigation</w:t>
      </w:r>
      <w:r w:rsidR="00784601" w:rsidRPr="00F31CC1">
        <w:rPr>
          <w:rFonts w:eastAsia="Calibri"/>
          <w:noProof/>
        </w:rPr>
        <w:t>s</w:t>
      </w:r>
      <w:r w:rsidR="00253FD2" w:rsidRPr="00F31CC1">
        <w:rPr>
          <w:rFonts w:eastAsia="Calibri"/>
          <w:noProof/>
        </w:rPr>
        <w:t xml:space="preserve"> and asset declaration verification</w:t>
      </w:r>
      <w:r w:rsidR="00FC0AF3" w:rsidRPr="00F31CC1">
        <w:rPr>
          <w:rFonts w:eastAsia="Calibri"/>
          <w:noProof/>
          <w:kern w:val="2"/>
          <w14:ligatures w14:val="standardContextual"/>
        </w:rPr>
        <w:t xml:space="preserve"> </w:t>
      </w:r>
      <w:r w:rsidR="00253FD2" w:rsidRPr="00F31CC1">
        <w:rPr>
          <w:rFonts w:eastAsia="Calibri"/>
          <w:noProof/>
        </w:rPr>
        <w:t>procedures</w:t>
      </w:r>
      <w:r w:rsidR="00596B08" w:rsidRPr="00F31CC1">
        <w:rPr>
          <w:rStyle w:val="FootnoteReference"/>
          <w:rFonts w:eastAsia="Calibri"/>
          <w:noProof/>
          <w:kern w:val="2"/>
          <w14:ligatures w14:val="standardContextual"/>
        </w:rPr>
        <w:footnoteReference w:id="61"/>
      </w:r>
      <w:r w:rsidR="00CD2579" w:rsidRPr="00F31CC1">
        <w:rPr>
          <w:rFonts w:eastAsia="Calibri"/>
          <w:noProof/>
        </w:rPr>
        <w:t>.</w:t>
      </w:r>
      <w:r w:rsidR="00253FD2" w:rsidRPr="00F31CC1">
        <w:rPr>
          <w:rFonts w:eastAsia="Calibri"/>
          <w:noProof/>
        </w:rPr>
        <w:t xml:space="preserve"> </w:t>
      </w:r>
      <w:r w:rsidR="00946614" w:rsidRPr="00F31CC1">
        <w:rPr>
          <w:rFonts w:eastAsia="Calibri"/>
          <w:noProof/>
        </w:rPr>
        <w:t xml:space="preserve">Amendments to the </w:t>
      </w:r>
      <w:r w:rsidR="00494703" w:rsidRPr="00F31CC1">
        <w:rPr>
          <w:rFonts w:eastAsia="Calibri"/>
          <w:noProof/>
        </w:rPr>
        <w:t xml:space="preserve">appointment process and </w:t>
      </w:r>
      <w:r w:rsidR="00946614" w:rsidRPr="00F31CC1">
        <w:rPr>
          <w:rFonts w:eastAsia="Calibri"/>
          <w:noProof/>
        </w:rPr>
        <w:t xml:space="preserve">governance </w:t>
      </w:r>
      <w:r w:rsidR="00494703" w:rsidRPr="00F31CC1">
        <w:rPr>
          <w:rFonts w:eastAsia="Calibri"/>
          <w:noProof/>
        </w:rPr>
        <w:t>of the IA seek to further strengthen its independence.</w:t>
      </w:r>
      <w:r w:rsidR="00253FD2" w:rsidRPr="00F31CC1">
        <w:rPr>
          <w:rFonts w:eastAsia="Calibri"/>
          <w:noProof/>
        </w:rPr>
        <w:t xml:space="preserve"> </w:t>
      </w:r>
      <w:r w:rsidR="000F6D71" w:rsidRPr="00F31CC1">
        <w:rPr>
          <w:rFonts w:eastAsia="Calibri"/>
          <w:noProof/>
        </w:rPr>
        <w:t>For any future</w:t>
      </w:r>
      <w:r w:rsidR="00026B78" w:rsidRPr="00F31CC1">
        <w:rPr>
          <w:rFonts w:eastAsia="Calibri"/>
          <w:noProof/>
        </w:rPr>
        <w:t xml:space="preserve"> appointment</w:t>
      </w:r>
      <w:r w:rsidR="00CA459F" w:rsidRPr="00F31CC1">
        <w:rPr>
          <w:rFonts w:eastAsia="Calibri"/>
          <w:noProof/>
        </w:rPr>
        <w:t xml:space="preserve">, </w:t>
      </w:r>
      <w:r w:rsidR="00F71DCA" w:rsidRPr="00F31CC1">
        <w:rPr>
          <w:rFonts w:eastAsia="Calibri"/>
          <w:noProof/>
        </w:rPr>
        <w:t>the eligibility committee is tasked to draw up a ranking of candidates, from which</w:t>
      </w:r>
      <w:r w:rsidR="00CA459F" w:rsidRPr="00F31CC1">
        <w:rPr>
          <w:rFonts w:eastAsia="Calibri"/>
          <w:noProof/>
        </w:rPr>
        <w:t xml:space="preserve"> </w:t>
      </w:r>
      <w:r w:rsidR="00A726C5" w:rsidRPr="00F31CC1">
        <w:rPr>
          <w:rFonts w:eastAsia="Calibri"/>
          <w:noProof/>
        </w:rPr>
        <w:t>the</w:t>
      </w:r>
      <w:r w:rsidR="00F71DCA" w:rsidRPr="00F31CC1">
        <w:rPr>
          <w:rFonts w:eastAsia="Calibri"/>
          <w:noProof/>
        </w:rPr>
        <w:t xml:space="preserve"> </w:t>
      </w:r>
      <w:r w:rsidR="00A726C5" w:rsidRPr="00F31CC1">
        <w:rPr>
          <w:rFonts w:eastAsia="Calibri"/>
          <w:noProof/>
        </w:rPr>
        <w:t>President of the State Audit Office</w:t>
      </w:r>
      <w:r w:rsidR="008A09DA" w:rsidRPr="00F31CC1">
        <w:rPr>
          <w:rFonts w:eastAsia="Calibri"/>
          <w:noProof/>
        </w:rPr>
        <w:t>, as the appointing authority,</w:t>
      </w:r>
      <w:r w:rsidR="00A726C5" w:rsidRPr="00F31CC1">
        <w:rPr>
          <w:rFonts w:eastAsia="Calibri"/>
          <w:noProof/>
        </w:rPr>
        <w:t xml:space="preserve"> may</w:t>
      </w:r>
      <w:r w:rsidR="00F93912" w:rsidRPr="00F31CC1">
        <w:rPr>
          <w:rFonts w:eastAsia="Calibri"/>
          <w:noProof/>
        </w:rPr>
        <w:t xml:space="preserve"> </w:t>
      </w:r>
      <w:r w:rsidR="00A726C5" w:rsidRPr="00F31CC1">
        <w:rPr>
          <w:rFonts w:eastAsia="Calibri"/>
          <w:noProof/>
        </w:rPr>
        <w:t>depart only exceptionally</w:t>
      </w:r>
      <w:r w:rsidR="00F93912" w:rsidRPr="00F31CC1">
        <w:rPr>
          <w:rFonts w:eastAsia="Calibri"/>
          <w:noProof/>
        </w:rPr>
        <w:t xml:space="preserve"> </w:t>
      </w:r>
      <w:r w:rsidR="00A726C5" w:rsidRPr="00F31CC1">
        <w:rPr>
          <w:rFonts w:eastAsia="Calibri"/>
          <w:noProof/>
        </w:rPr>
        <w:t>and in duly justified cases</w:t>
      </w:r>
      <w:r w:rsidR="00482BBC" w:rsidRPr="00F31CC1">
        <w:rPr>
          <w:rStyle w:val="FootnoteReference"/>
          <w:rFonts w:eastAsia="Calibri"/>
          <w:noProof/>
          <w:kern w:val="2"/>
          <w14:ligatures w14:val="standardContextual"/>
        </w:rPr>
        <w:footnoteReference w:id="62"/>
      </w:r>
      <w:r w:rsidR="000F6D71" w:rsidRPr="00F31CC1">
        <w:rPr>
          <w:rFonts w:eastAsia="Calibri"/>
          <w:noProof/>
        </w:rPr>
        <w:t>.</w:t>
      </w:r>
      <w:r w:rsidR="00A2327D" w:rsidRPr="00F31CC1">
        <w:rPr>
          <w:rFonts w:eastAsia="Calibri"/>
          <w:noProof/>
        </w:rPr>
        <w:t xml:space="preserve"> </w:t>
      </w:r>
      <w:r w:rsidR="00AD5BE8" w:rsidRPr="00F31CC1">
        <w:rPr>
          <w:rFonts w:eastAsia="Calibri"/>
          <w:noProof/>
        </w:rPr>
        <w:t>Moreover,</w:t>
      </w:r>
      <w:r w:rsidR="00A665C8" w:rsidRPr="00F31CC1">
        <w:rPr>
          <w:rFonts w:eastAsia="Calibri"/>
          <w:noProof/>
        </w:rPr>
        <w:t xml:space="preserve"> </w:t>
      </w:r>
      <w:r w:rsidR="00A05BB6" w:rsidRPr="00F31CC1">
        <w:rPr>
          <w:rFonts w:eastAsia="Calibri"/>
          <w:noProof/>
          <w:lang w:val="en-IE"/>
        </w:rPr>
        <w:t>a</w:t>
      </w:r>
      <w:r w:rsidR="0069262F" w:rsidRPr="00F31CC1">
        <w:rPr>
          <w:rFonts w:eastAsia="Calibri"/>
          <w:noProof/>
        </w:rPr>
        <w:t xml:space="preserve"> new</w:t>
      </w:r>
      <w:r w:rsidR="00A665C8" w:rsidRPr="00F31CC1">
        <w:rPr>
          <w:rFonts w:eastAsia="Calibri"/>
          <w:noProof/>
        </w:rPr>
        <w:t xml:space="preserve"> governance structure of the </w:t>
      </w:r>
      <w:r w:rsidR="005B5659" w:rsidRPr="00F31CC1">
        <w:rPr>
          <w:rFonts w:eastAsia="Calibri"/>
          <w:noProof/>
        </w:rPr>
        <w:t>IA</w:t>
      </w:r>
      <w:r w:rsidR="0069262F" w:rsidRPr="00F31CC1">
        <w:rPr>
          <w:rFonts w:eastAsia="Calibri"/>
          <w:noProof/>
        </w:rPr>
        <w:t xml:space="preserve"> </w:t>
      </w:r>
      <w:r w:rsidR="00A05BB6" w:rsidRPr="00F31CC1">
        <w:rPr>
          <w:rFonts w:eastAsia="Calibri"/>
          <w:noProof/>
        </w:rPr>
        <w:t>is established,</w:t>
      </w:r>
      <w:r w:rsidR="0069262F" w:rsidRPr="00F31CC1">
        <w:rPr>
          <w:rFonts w:eastAsia="Calibri"/>
          <w:noProof/>
        </w:rPr>
        <w:t xml:space="preserve"> consist</w:t>
      </w:r>
      <w:r w:rsidR="007E719E" w:rsidRPr="00F31CC1">
        <w:rPr>
          <w:rFonts w:eastAsia="Calibri"/>
          <w:noProof/>
        </w:rPr>
        <w:t>ing</w:t>
      </w:r>
      <w:r w:rsidR="0069262F" w:rsidRPr="00F31CC1">
        <w:rPr>
          <w:rFonts w:eastAsia="Calibri"/>
          <w:noProof/>
        </w:rPr>
        <w:t xml:space="preserve"> of</w:t>
      </w:r>
      <w:r w:rsidR="0055712C" w:rsidRPr="00F31CC1">
        <w:rPr>
          <w:rFonts w:eastAsia="Calibri"/>
          <w:noProof/>
        </w:rPr>
        <w:t xml:space="preserve"> a </w:t>
      </w:r>
      <w:r w:rsidR="002C5B1D" w:rsidRPr="00F31CC1">
        <w:rPr>
          <w:rFonts w:eastAsia="Calibri"/>
          <w:noProof/>
        </w:rPr>
        <w:t xml:space="preserve">five-member </w:t>
      </w:r>
      <w:r w:rsidR="00A27434" w:rsidRPr="00F31CC1">
        <w:rPr>
          <w:rFonts w:eastAsia="Calibri"/>
          <w:noProof/>
        </w:rPr>
        <w:t>b</w:t>
      </w:r>
      <w:r w:rsidR="002C5B1D" w:rsidRPr="00F31CC1">
        <w:rPr>
          <w:rFonts w:eastAsia="Calibri"/>
          <w:noProof/>
        </w:rPr>
        <w:t>oard</w:t>
      </w:r>
      <w:r w:rsidR="00303B64" w:rsidRPr="00F31CC1">
        <w:rPr>
          <w:rFonts w:eastAsia="Calibri"/>
          <w:noProof/>
        </w:rPr>
        <w:t xml:space="preserve"> compo</w:t>
      </w:r>
      <w:r w:rsidR="00FE19BE" w:rsidRPr="00F31CC1">
        <w:rPr>
          <w:rFonts w:eastAsia="Calibri"/>
          <w:noProof/>
        </w:rPr>
        <w:t>sed of the President and four Vice-</w:t>
      </w:r>
      <w:r w:rsidR="00DC508D" w:rsidRPr="00F31CC1">
        <w:rPr>
          <w:rFonts w:eastAsia="Calibri"/>
          <w:noProof/>
        </w:rPr>
        <w:t>Presidents</w:t>
      </w:r>
      <w:r w:rsidR="00B0520D" w:rsidRPr="00F31CC1">
        <w:rPr>
          <w:rStyle w:val="FootnoteReference"/>
          <w:rFonts w:eastAsia="Calibri"/>
          <w:noProof/>
          <w:kern w:val="2"/>
          <w14:ligatures w14:val="standardContextual"/>
        </w:rPr>
        <w:footnoteReference w:id="63"/>
      </w:r>
      <w:r w:rsidR="00B0520D" w:rsidRPr="00F31CC1">
        <w:rPr>
          <w:rFonts w:eastAsia="Calibri"/>
          <w:noProof/>
        </w:rPr>
        <w:t xml:space="preserve">. </w:t>
      </w:r>
      <w:r w:rsidR="00236D5A" w:rsidRPr="00F31CC1">
        <w:rPr>
          <w:rFonts w:eastAsia="Calibri"/>
          <w:noProof/>
        </w:rPr>
        <w:t>On 16 June 2026, the President of the State Audit Office</w:t>
      </w:r>
      <w:r w:rsidR="006F390C" w:rsidRPr="00F31CC1">
        <w:rPr>
          <w:rFonts w:eastAsia="Calibri"/>
          <w:noProof/>
        </w:rPr>
        <w:t xml:space="preserve"> </w:t>
      </w:r>
      <w:r w:rsidR="00236D5A" w:rsidRPr="00F31CC1">
        <w:rPr>
          <w:rFonts w:eastAsia="Calibri"/>
          <w:noProof/>
        </w:rPr>
        <w:t>petitioned the Budapest Regional Court</w:t>
      </w:r>
      <w:r w:rsidR="0037249C" w:rsidRPr="00F31CC1">
        <w:rPr>
          <w:rFonts w:eastAsia="Calibri"/>
          <w:noProof/>
        </w:rPr>
        <w:t xml:space="preserve"> </w:t>
      </w:r>
      <w:r w:rsidR="00236D5A" w:rsidRPr="00F31CC1">
        <w:rPr>
          <w:rFonts w:eastAsia="Calibri"/>
          <w:noProof/>
        </w:rPr>
        <w:t>to</w:t>
      </w:r>
      <w:r w:rsidR="0037249C" w:rsidRPr="00F31CC1">
        <w:rPr>
          <w:rFonts w:eastAsia="Calibri"/>
          <w:noProof/>
        </w:rPr>
        <w:t xml:space="preserve"> </w:t>
      </w:r>
      <w:r w:rsidR="00236D5A" w:rsidRPr="00F31CC1">
        <w:rPr>
          <w:rFonts w:eastAsia="Calibri"/>
          <w:noProof/>
        </w:rPr>
        <w:t>remove the</w:t>
      </w:r>
      <w:r w:rsidR="0037249C" w:rsidRPr="00F31CC1">
        <w:rPr>
          <w:rFonts w:eastAsia="Calibri"/>
          <w:noProof/>
        </w:rPr>
        <w:t xml:space="preserve"> </w:t>
      </w:r>
      <w:r w:rsidR="00236D5A" w:rsidRPr="00F31CC1">
        <w:rPr>
          <w:rFonts w:eastAsia="Calibri"/>
          <w:noProof/>
        </w:rPr>
        <w:t xml:space="preserve">President of the </w:t>
      </w:r>
      <w:r w:rsidR="00412609" w:rsidRPr="00F31CC1">
        <w:rPr>
          <w:rFonts w:eastAsia="Calibri"/>
          <w:noProof/>
        </w:rPr>
        <w:t>IA</w:t>
      </w:r>
      <w:r w:rsidR="00784601" w:rsidRPr="00F31CC1">
        <w:rPr>
          <w:rFonts w:eastAsia="Calibri"/>
          <w:noProof/>
        </w:rPr>
        <w:t xml:space="preserve"> from office</w:t>
      </w:r>
      <w:r w:rsidR="00412609" w:rsidRPr="00F31CC1">
        <w:rPr>
          <w:rFonts w:eastAsia="Calibri"/>
          <w:noProof/>
        </w:rPr>
        <w:t>, following</w:t>
      </w:r>
      <w:r w:rsidR="006F390C" w:rsidRPr="00F31CC1">
        <w:rPr>
          <w:rFonts w:eastAsia="Calibri"/>
          <w:noProof/>
        </w:rPr>
        <w:t xml:space="preserve"> </w:t>
      </w:r>
      <w:r w:rsidR="00412609" w:rsidRPr="00F31CC1">
        <w:rPr>
          <w:rFonts w:eastAsia="Calibri"/>
          <w:noProof/>
        </w:rPr>
        <w:t>an indictment</w:t>
      </w:r>
      <w:r w:rsidR="006F390C" w:rsidRPr="00F31CC1">
        <w:rPr>
          <w:rFonts w:eastAsia="Calibri"/>
          <w:noProof/>
        </w:rPr>
        <w:t xml:space="preserve"> </w:t>
      </w:r>
      <w:r w:rsidR="00412609" w:rsidRPr="00F31CC1">
        <w:rPr>
          <w:rFonts w:eastAsia="Calibri"/>
          <w:noProof/>
        </w:rPr>
        <w:t>against</w:t>
      </w:r>
      <w:r w:rsidR="006F390C" w:rsidRPr="00F31CC1">
        <w:rPr>
          <w:rFonts w:eastAsia="Calibri"/>
          <w:noProof/>
        </w:rPr>
        <w:t xml:space="preserve"> </w:t>
      </w:r>
      <w:r w:rsidR="00412609" w:rsidRPr="00F31CC1">
        <w:rPr>
          <w:rFonts w:eastAsia="Calibri"/>
          <w:noProof/>
        </w:rPr>
        <w:t>h</w:t>
      </w:r>
      <w:r w:rsidR="00E346FE" w:rsidRPr="00F31CC1">
        <w:rPr>
          <w:rFonts w:eastAsia="Calibri"/>
          <w:noProof/>
        </w:rPr>
        <w:t xml:space="preserve">im </w:t>
      </w:r>
      <w:r w:rsidR="00412609" w:rsidRPr="00F31CC1">
        <w:rPr>
          <w:rFonts w:eastAsia="Calibri"/>
          <w:noProof/>
        </w:rPr>
        <w:t>for</w:t>
      </w:r>
      <w:r w:rsidR="00D62E5A" w:rsidRPr="00F31CC1">
        <w:rPr>
          <w:rFonts w:eastAsia="Calibri"/>
          <w:noProof/>
        </w:rPr>
        <w:t xml:space="preserve"> </w:t>
      </w:r>
      <w:r w:rsidR="00412609" w:rsidRPr="00F31CC1">
        <w:rPr>
          <w:rFonts w:eastAsia="Calibri"/>
          <w:noProof/>
        </w:rPr>
        <w:t>abuse of office and forgery of official documents</w:t>
      </w:r>
      <w:r w:rsidR="00236D5A" w:rsidRPr="00F31CC1">
        <w:rPr>
          <w:rStyle w:val="FootnoteReference"/>
          <w:rFonts w:eastAsia="Calibri"/>
          <w:noProof/>
          <w:kern w:val="2"/>
          <w14:ligatures w14:val="standardContextual"/>
        </w:rPr>
        <w:footnoteReference w:id="64"/>
      </w:r>
      <w:r w:rsidR="00236D5A" w:rsidRPr="00F31CC1">
        <w:rPr>
          <w:rFonts w:eastAsia="Calibri"/>
          <w:noProof/>
        </w:rPr>
        <w:t>.</w:t>
      </w:r>
      <w:r w:rsidR="000E7360" w:rsidRPr="00F31CC1">
        <w:rPr>
          <w:rFonts w:eastAsia="Calibri"/>
          <w:noProof/>
          <w:kern w:val="2"/>
          <w14:ligatures w14:val="standardContextual"/>
        </w:rPr>
        <w:t xml:space="preserve"> </w:t>
      </w:r>
      <w:r w:rsidR="009B1AE6" w:rsidRPr="00C068BA">
        <w:rPr>
          <w:rFonts w:eastAsia="Calibri"/>
          <w:noProof/>
          <w:kern w:val="2"/>
          <w14:ligatures w14:val="standardContextual"/>
        </w:rPr>
        <w:t xml:space="preserve">As regards the follow-up to the </w:t>
      </w:r>
      <w:r w:rsidR="005A2368" w:rsidRPr="00C068BA">
        <w:rPr>
          <w:rFonts w:eastAsia="Calibri"/>
          <w:noProof/>
          <w:kern w:val="2"/>
          <w14:ligatures w14:val="standardContextual"/>
        </w:rPr>
        <w:t>IA</w:t>
      </w:r>
      <w:r w:rsidR="009B1AE6" w:rsidRPr="00C068BA">
        <w:rPr>
          <w:rFonts w:eastAsia="Calibri"/>
          <w:noProof/>
          <w:kern w:val="2"/>
          <w14:ligatures w14:val="standardContextual"/>
        </w:rPr>
        <w:t>’s recommendations,</w:t>
      </w:r>
      <w:r w:rsidR="009B1AE6" w:rsidRPr="00F31CC1">
        <w:rPr>
          <w:rFonts w:eastAsia="Calibri"/>
          <w:noProof/>
          <w:kern w:val="2"/>
          <w14:ligatures w14:val="standardContextual"/>
        </w:rPr>
        <w:t xml:space="preserve"> the former Government</w:t>
      </w:r>
      <w:r w:rsidR="00FC0AF3" w:rsidRPr="00F31CC1">
        <w:rPr>
          <w:rFonts w:eastAsia="Calibri"/>
          <w:noProof/>
          <w:kern w:val="2"/>
          <w14:ligatures w14:val="standardContextual"/>
        </w:rPr>
        <w:t xml:space="preserve"> agreed or</w:t>
      </w:r>
      <w:r w:rsidR="00FC0AF3" w:rsidRPr="006536D8">
        <w:rPr>
          <w:rFonts w:eastAsia="Calibri"/>
          <w:noProof/>
          <w:kern w:val="2"/>
          <w14:ligatures w14:val="standardContextual"/>
        </w:rPr>
        <w:t xml:space="preserve"> partially agreed with </w:t>
      </w:r>
      <w:r w:rsidR="00FC0AF3">
        <w:rPr>
          <w:rFonts w:eastAsia="Calibri"/>
          <w:noProof/>
          <w:kern w:val="2"/>
          <w14:ligatures w14:val="standardContextual"/>
        </w:rPr>
        <w:t xml:space="preserve">ten of the 42 recommendations made by the </w:t>
      </w:r>
      <w:r w:rsidR="00AC3A6C" w:rsidRPr="614D3F52">
        <w:rPr>
          <w:rFonts w:eastAsia="Calibri"/>
          <w:noProof/>
        </w:rPr>
        <w:t>IA</w:t>
      </w:r>
      <w:r w:rsidR="00FC0AF3">
        <w:rPr>
          <w:rFonts w:eastAsia="Calibri"/>
          <w:noProof/>
          <w:kern w:val="2"/>
          <w14:ligatures w14:val="standardContextual"/>
        </w:rPr>
        <w:t xml:space="preserve"> in its </w:t>
      </w:r>
      <w:r w:rsidR="00FC0AF3" w:rsidRPr="00AB33CC">
        <w:rPr>
          <w:rFonts w:eastAsia="Calibri"/>
          <w:noProof/>
          <w:kern w:val="2"/>
          <w14:ligatures w14:val="standardContextual"/>
        </w:rPr>
        <w:t>third</w:t>
      </w:r>
      <w:r w:rsidR="00FC0AF3">
        <w:rPr>
          <w:rFonts w:eastAsia="Calibri"/>
          <w:noProof/>
          <w:kern w:val="2"/>
          <w14:ligatures w14:val="standardContextual"/>
        </w:rPr>
        <w:t xml:space="preserve"> analytical integrity report</w:t>
      </w:r>
      <w:r w:rsidR="00FC0AF3" w:rsidRPr="006536D8">
        <w:rPr>
          <w:rFonts w:eastAsia="Calibri"/>
          <w:noProof/>
          <w:kern w:val="2"/>
          <w14:ligatures w14:val="standardContextual"/>
        </w:rPr>
        <w:t xml:space="preserve">, disagreed with </w:t>
      </w:r>
      <w:r w:rsidR="00FC0AF3" w:rsidRPr="06F7AFF9">
        <w:rPr>
          <w:rFonts w:eastAsia="Calibri"/>
          <w:noProof/>
        </w:rPr>
        <w:t xml:space="preserve">17 </w:t>
      </w:r>
      <w:r w:rsidR="00FC0AF3" w:rsidRPr="006536D8">
        <w:rPr>
          <w:rFonts w:eastAsia="Calibri"/>
          <w:noProof/>
          <w:kern w:val="2"/>
          <w14:ligatures w14:val="standardContextual"/>
        </w:rPr>
        <w:t xml:space="preserve">and considered that no further action was needed on the remaining </w:t>
      </w:r>
      <w:r w:rsidR="00FC0AF3">
        <w:rPr>
          <w:rFonts w:eastAsia="Calibri"/>
          <w:noProof/>
          <w:kern w:val="2"/>
          <w14:ligatures w14:val="standardContextual"/>
        </w:rPr>
        <w:t>15</w:t>
      </w:r>
      <w:r w:rsidR="00FC0AF3" w:rsidRPr="006536D8">
        <w:rPr>
          <w:rStyle w:val="FootnoteReference"/>
          <w:rFonts w:eastAsia="Calibri"/>
          <w:noProof/>
          <w:kern w:val="2"/>
          <w14:ligatures w14:val="standardContextual"/>
        </w:rPr>
        <w:footnoteReference w:id="65"/>
      </w:r>
      <w:r w:rsidR="00FC0AF3" w:rsidRPr="006536D8">
        <w:rPr>
          <w:rFonts w:eastAsia="Calibri"/>
          <w:noProof/>
          <w:kern w:val="2"/>
          <w14:ligatures w14:val="standardContextual"/>
        </w:rPr>
        <w:t xml:space="preserve">. </w:t>
      </w:r>
      <w:r w:rsidR="00FC0AF3" w:rsidRPr="06F7AFF9">
        <w:rPr>
          <w:rFonts w:eastAsia="Calibri"/>
          <w:noProof/>
        </w:rPr>
        <w:t xml:space="preserve">In 2025, the </w:t>
      </w:r>
      <w:r w:rsidR="00A27434">
        <w:rPr>
          <w:rFonts w:eastAsia="Calibri"/>
          <w:noProof/>
        </w:rPr>
        <w:t>IA</w:t>
      </w:r>
      <w:r w:rsidR="00FC0AF3" w:rsidRPr="06F7AFF9">
        <w:rPr>
          <w:rFonts w:eastAsia="Calibri"/>
          <w:noProof/>
        </w:rPr>
        <w:t xml:space="preserve"> referred four cases to the prosecution service</w:t>
      </w:r>
      <w:r w:rsidR="00FC0AF3">
        <w:rPr>
          <w:rStyle w:val="FootnoteReference"/>
          <w:rFonts w:eastAsia="Calibri"/>
          <w:noProof/>
          <w:kern w:val="2"/>
          <w14:ligatures w14:val="standardContextual"/>
        </w:rPr>
        <w:footnoteReference w:id="66"/>
      </w:r>
      <w:r w:rsidR="00FC0AF3" w:rsidRPr="06F7AFF9">
        <w:rPr>
          <w:rFonts w:eastAsia="Calibri"/>
          <w:noProof/>
        </w:rPr>
        <w:t xml:space="preserve">. </w:t>
      </w:r>
      <w:r w:rsidR="00FC0AF3">
        <w:rPr>
          <w:rFonts w:eastAsia="Calibri"/>
          <w:noProof/>
          <w:kern w:val="2"/>
          <w14:ligatures w14:val="standardContextual"/>
        </w:rPr>
        <w:t>In</w:t>
      </w:r>
      <w:r w:rsidR="00FC0AF3" w:rsidRPr="006536D8">
        <w:rPr>
          <w:rFonts w:eastAsia="Calibri"/>
          <w:noProof/>
          <w:kern w:val="2"/>
          <w14:ligatures w14:val="standardContextual"/>
        </w:rPr>
        <w:t xml:space="preserve"> July 2025, the </w:t>
      </w:r>
      <w:r w:rsidR="00155500" w:rsidRPr="614D3F52">
        <w:rPr>
          <w:rFonts w:eastAsia="Calibri"/>
          <w:noProof/>
        </w:rPr>
        <w:t>e</w:t>
      </w:r>
      <w:r w:rsidR="00FC0AF3" w:rsidRPr="006536D8">
        <w:rPr>
          <w:rFonts w:eastAsia="Calibri"/>
          <w:noProof/>
          <w:kern w:val="2"/>
          <w14:ligatures w14:val="standardContextual"/>
        </w:rPr>
        <w:t xml:space="preserve">ligibility </w:t>
      </w:r>
      <w:r w:rsidR="00155500" w:rsidRPr="614D3F52">
        <w:rPr>
          <w:rFonts w:eastAsia="Calibri"/>
          <w:noProof/>
        </w:rPr>
        <w:t>c</w:t>
      </w:r>
      <w:r w:rsidR="00FC0AF3" w:rsidRPr="006536D8">
        <w:rPr>
          <w:rFonts w:eastAsia="Calibri"/>
          <w:noProof/>
          <w:kern w:val="2"/>
          <w14:ligatures w14:val="standardContextual"/>
        </w:rPr>
        <w:t>ommittee published its report</w:t>
      </w:r>
      <w:r w:rsidR="00FC0AF3" w:rsidRPr="006536D8" w:rsidDel="00892700">
        <w:rPr>
          <w:rFonts w:eastAsia="Calibri"/>
          <w:noProof/>
          <w:kern w:val="2"/>
          <w14:ligatures w14:val="standardContextual"/>
        </w:rPr>
        <w:t xml:space="preserve"> </w:t>
      </w:r>
      <w:r w:rsidR="00FC0AF3">
        <w:rPr>
          <w:rFonts w:eastAsia="Calibri"/>
          <w:noProof/>
          <w:kern w:val="2"/>
          <w14:ligatures w14:val="standardContextual"/>
        </w:rPr>
        <w:t>on</w:t>
      </w:r>
      <w:r w:rsidR="00FC0AF3" w:rsidRPr="006536D8">
        <w:rPr>
          <w:rFonts w:eastAsia="Calibri"/>
          <w:noProof/>
          <w:kern w:val="2"/>
          <w14:ligatures w14:val="standardContextual"/>
        </w:rPr>
        <w:t xml:space="preserve"> the functioning of the IA</w:t>
      </w:r>
      <w:r w:rsidR="00FC0AF3">
        <w:rPr>
          <w:rFonts w:eastAsia="Calibri"/>
          <w:noProof/>
          <w:kern w:val="2"/>
          <w14:ligatures w14:val="standardContextual"/>
        </w:rPr>
        <w:t xml:space="preserve"> with recommendations</w:t>
      </w:r>
      <w:r w:rsidR="00FC0AF3" w:rsidRPr="006536D8">
        <w:rPr>
          <w:rFonts w:eastAsia="Calibri"/>
          <w:noProof/>
          <w:kern w:val="2"/>
          <w14:ligatures w14:val="standardContextual"/>
        </w:rPr>
        <w:t xml:space="preserve">, including amendments to </w:t>
      </w:r>
      <w:r w:rsidR="00FC0AF3">
        <w:rPr>
          <w:rFonts w:eastAsia="Calibri"/>
          <w:noProof/>
          <w:kern w:val="2"/>
          <w14:ligatures w14:val="standardContextual"/>
        </w:rPr>
        <w:t>the IA’s</w:t>
      </w:r>
      <w:r w:rsidR="00FC0AF3" w:rsidRPr="006536D8">
        <w:rPr>
          <w:rFonts w:eastAsia="Calibri"/>
          <w:noProof/>
          <w:kern w:val="2"/>
          <w14:ligatures w14:val="standardContextual"/>
        </w:rPr>
        <w:t xml:space="preserve"> internal rules</w:t>
      </w:r>
      <w:r w:rsidR="00FC0AF3" w:rsidRPr="006536D8">
        <w:rPr>
          <w:rStyle w:val="FootnoteReference"/>
          <w:rFonts w:eastAsia="Calibri"/>
          <w:noProof/>
          <w:kern w:val="2"/>
          <w14:ligatures w14:val="standardContextual"/>
        </w:rPr>
        <w:footnoteReference w:id="67"/>
      </w:r>
      <w:r w:rsidR="00FC0AF3" w:rsidRPr="006536D8">
        <w:rPr>
          <w:rFonts w:eastAsia="Calibri"/>
          <w:noProof/>
          <w:kern w:val="2"/>
          <w14:ligatures w14:val="standardContextual"/>
        </w:rPr>
        <w:t xml:space="preserve">. </w:t>
      </w:r>
      <w:r w:rsidR="00FC0AF3">
        <w:rPr>
          <w:rFonts w:eastAsia="Calibri"/>
          <w:noProof/>
          <w:kern w:val="2"/>
          <w14:ligatures w14:val="standardContextual"/>
        </w:rPr>
        <w:t>The</w:t>
      </w:r>
      <w:r w:rsidR="00FC0AF3" w:rsidRPr="006536D8">
        <w:rPr>
          <w:rFonts w:eastAsia="Calibri"/>
          <w:noProof/>
          <w:kern w:val="2"/>
          <w14:ligatures w14:val="standardContextual"/>
        </w:rPr>
        <w:t xml:space="preserve"> IA </w:t>
      </w:r>
      <w:r w:rsidR="00FC0AF3">
        <w:rPr>
          <w:rFonts w:eastAsia="Calibri"/>
          <w:noProof/>
          <w:kern w:val="2"/>
          <w14:ligatures w14:val="standardContextual"/>
        </w:rPr>
        <w:t>committed to examining the possibility of their implementation, while it criticised the</w:t>
      </w:r>
      <w:r w:rsidR="00FC0AF3" w:rsidRPr="006536D8">
        <w:rPr>
          <w:rFonts w:eastAsia="Calibri"/>
          <w:noProof/>
          <w:kern w:val="2"/>
          <w14:ligatures w14:val="standardContextual"/>
        </w:rPr>
        <w:t xml:space="preserve"> </w:t>
      </w:r>
      <w:r w:rsidR="00FC0AF3">
        <w:rPr>
          <w:rFonts w:eastAsia="Calibri"/>
          <w:noProof/>
          <w:kern w:val="2"/>
          <w14:ligatures w14:val="standardContextual"/>
        </w:rPr>
        <w:t>methodology</w:t>
      </w:r>
      <w:r w:rsidR="00FC0AF3" w:rsidRPr="006536D8">
        <w:rPr>
          <w:rFonts w:eastAsia="Calibri"/>
          <w:noProof/>
          <w:kern w:val="2"/>
          <w14:ligatures w14:val="standardContextual"/>
        </w:rPr>
        <w:t>, as well as supporting evidence</w:t>
      </w:r>
      <w:r w:rsidR="00FC0AF3">
        <w:rPr>
          <w:rFonts w:eastAsia="Calibri"/>
          <w:noProof/>
          <w:kern w:val="2"/>
          <w14:ligatures w14:val="standardContextual"/>
        </w:rPr>
        <w:t xml:space="preserve"> for the </w:t>
      </w:r>
      <w:r w:rsidR="00FC0AF3" w:rsidRPr="006536D8">
        <w:rPr>
          <w:rFonts w:eastAsia="Calibri"/>
          <w:noProof/>
          <w:kern w:val="2"/>
          <w14:ligatures w14:val="standardContextual"/>
        </w:rPr>
        <w:t>conclusions</w:t>
      </w:r>
      <w:r w:rsidR="00FC0AF3">
        <w:rPr>
          <w:rFonts w:eastAsia="Calibri"/>
          <w:noProof/>
          <w:kern w:val="2"/>
          <w14:ligatures w14:val="standardContextual"/>
        </w:rPr>
        <w:t>.</w:t>
      </w:r>
      <w:r w:rsidR="00FC0AF3" w:rsidRPr="006536D8">
        <w:rPr>
          <w:rFonts w:eastAsia="Calibri"/>
          <w:noProof/>
          <w:kern w:val="2"/>
          <w14:ligatures w14:val="standardContextual"/>
        </w:rPr>
        <w:t xml:space="preserve"> </w:t>
      </w:r>
    </w:p>
    <w:p w14:paraId="123A4367" w14:textId="27125305" w:rsidR="00FC0AF3" w:rsidRPr="00C90D9D" w:rsidRDefault="001070D2" w:rsidP="00FC0AF3">
      <w:pPr>
        <w:rPr>
          <w:rFonts w:eastAsia="Calibri"/>
          <w:b/>
          <w:noProof/>
          <w:kern w:val="2"/>
          <w14:ligatures w14:val="standardContextual"/>
        </w:rPr>
      </w:pPr>
      <w:r>
        <w:rPr>
          <w:rFonts w:eastAsia="Calibri"/>
          <w:b/>
          <w:bCs/>
          <w:noProof/>
          <w:kern w:val="2"/>
          <w14:ligatures w14:val="standardContextual"/>
        </w:rPr>
        <w:t xml:space="preserve">The omnibus law of June 2026 also </w:t>
      </w:r>
      <w:r w:rsidR="0049703D">
        <w:rPr>
          <w:rFonts w:eastAsia="Calibri"/>
          <w:b/>
          <w:bCs/>
          <w:noProof/>
          <w:kern w:val="2"/>
          <w14:ligatures w14:val="standardContextual"/>
        </w:rPr>
        <w:t xml:space="preserve">aims </w:t>
      </w:r>
      <w:r w:rsidR="008B1ABB">
        <w:rPr>
          <w:rFonts w:eastAsia="Calibri"/>
          <w:b/>
          <w:bCs/>
          <w:noProof/>
          <w:kern w:val="2"/>
          <w14:ligatures w14:val="standardContextual"/>
        </w:rPr>
        <w:t xml:space="preserve">to </w:t>
      </w:r>
      <w:r w:rsidR="007A5AB9">
        <w:rPr>
          <w:rFonts w:eastAsia="Calibri"/>
          <w:b/>
          <w:bCs/>
          <w:noProof/>
          <w:kern w:val="2"/>
          <w14:ligatures w14:val="standardContextual"/>
        </w:rPr>
        <w:t xml:space="preserve">strengthen the functioning </w:t>
      </w:r>
      <w:r w:rsidR="007A5AB9">
        <w:rPr>
          <w:rFonts w:eastAsia="Calibri"/>
          <w:b/>
          <w:bCs/>
          <w:noProof/>
          <w:kern w:val="2"/>
          <w14:ligatures w14:val="standardContextual"/>
        </w:rPr>
        <w:tab/>
        <w:t>and impact</w:t>
      </w:r>
      <w:r w:rsidR="00125B1A">
        <w:rPr>
          <w:rFonts w:eastAsia="Calibri"/>
          <w:b/>
          <w:bCs/>
          <w:noProof/>
          <w:kern w:val="2"/>
          <w14:ligatures w14:val="standardContextual"/>
        </w:rPr>
        <w:t xml:space="preserve"> </w:t>
      </w:r>
      <w:r w:rsidR="00E24FA3">
        <w:rPr>
          <w:rFonts w:eastAsia="Calibri"/>
          <w:b/>
          <w:bCs/>
          <w:noProof/>
          <w:kern w:val="2"/>
          <w14:ligatures w14:val="standardContextual"/>
        </w:rPr>
        <w:t>of</w:t>
      </w:r>
      <w:r w:rsidR="00431DB3">
        <w:rPr>
          <w:rFonts w:eastAsia="Calibri"/>
          <w:b/>
          <w:bCs/>
          <w:noProof/>
          <w:kern w:val="2"/>
          <w14:ligatures w14:val="standardContextual"/>
        </w:rPr>
        <w:t xml:space="preserve"> the Anti-Corruption Task Force</w:t>
      </w:r>
      <w:r w:rsidR="00ED3C5E">
        <w:rPr>
          <w:rFonts w:eastAsia="Calibri"/>
          <w:b/>
          <w:bCs/>
          <w:noProof/>
          <w:kern w:val="2"/>
          <w14:ligatures w14:val="standardContextual"/>
        </w:rPr>
        <w:t>.</w:t>
      </w:r>
      <w:r w:rsidR="00431DB3" w:rsidRPr="006536D8">
        <w:rPr>
          <w:rFonts w:eastAsia="Calibri"/>
          <w:noProof/>
          <w:kern w:val="2"/>
          <w14:ligatures w14:val="standardContextual"/>
        </w:rPr>
        <w:t xml:space="preserve"> </w:t>
      </w:r>
      <w:r w:rsidR="00D269FE" w:rsidRPr="006536D8">
        <w:rPr>
          <w:rFonts w:eastAsia="Calibri"/>
          <w:noProof/>
          <w:kern w:val="2"/>
          <w14:ligatures w14:val="standardContextual"/>
        </w:rPr>
        <w:t xml:space="preserve">The Anti-Corruption Task Force (ACTF) </w:t>
      </w:r>
      <w:r w:rsidR="00FC0AF3" w:rsidRPr="006536D8">
        <w:rPr>
          <w:rFonts w:eastAsia="Calibri"/>
          <w:noProof/>
          <w:kern w:val="2"/>
          <w14:ligatures w14:val="standardContextual"/>
        </w:rPr>
        <w:t>held eight meetings in 2025</w:t>
      </w:r>
      <w:r w:rsidR="00CB4A1B">
        <w:rPr>
          <w:noProof/>
        </w:rPr>
        <w:t xml:space="preserve"> and adopted its 2025 annual report in March 2026</w:t>
      </w:r>
      <w:r w:rsidR="00CB4A1B">
        <w:rPr>
          <w:rStyle w:val="FootnoteReference"/>
          <w:noProof/>
          <w:kern w:val="2"/>
          <w14:ligatures w14:val="standardContextual"/>
        </w:rPr>
        <w:footnoteReference w:id="68"/>
      </w:r>
      <w:r w:rsidR="00FC0AF3" w:rsidRPr="006536D8">
        <w:rPr>
          <w:rFonts w:eastAsia="Calibri"/>
          <w:noProof/>
          <w:kern w:val="2"/>
          <w14:ligatures w14:val="standardContextual"/>
        </w:rPr>
        <w:t xml:space="preserve">. </w:t>
      </w:r>
      <w:r w:rsidR="00FC0AF3">
        <w:rPr>
          <w:rFonts w:eastAsia="Calibri"/>
          <w:noProof/>
          <w:kern w:val="2"/>
          <w14:ligatures w14:val="standardContextual"/>
        </w:rPr>
        <w:t xml:space="preserve">Non-governmental members of the </w:t>
      </w:r>
      <w:r w:rsidR="007A12A5" w:rsidRPr="614D3F52">
        <w:rPr>
          <w:rFonts w:eastAsia="Calibri"/>
          <w:noProof/>
        </w:rPr>
        <w:t>ACTF</w:t>
      </w:r>
      <w:r w:rsidR="00FC0AF3">
        <w:rPr>
          <w:rFonts w:eastAsia="Calibri"/>
          <w:noProof/>
          <w:kern w:val="2"/>
          <w14:ligatures w14:val="standardContextual"/>
        </w:rPr>
        <w:t xml:space="preserve"> remain</w:t>
      </w:r>
      <w:r w:rsidR="00194854" w:rsidRPr="614D3F52">
        <w:rPr>
          <w:rFonts w:eastAsia="Calibri"/>
          <w:noProof/>
        </w:rPr>
        <w:t>ed</w:t>
      </w:r>
      <w:r w:rsidR="00FC0AF3">
        <w:rPr>
          <w:rFonts w:eastAsia="Calibri"/>
          <w:noProof/>
          <w:kern w:val="2"/>
          <w14:ligatures w14:val="standardContextual"/>
        </w:rPr>
        <w:t xml:space="preserve"> concerned about </w:t>
      </w:r>
      <w:r w:rsidR="00FC0AF3" w:rsidRPr="0054638F">
        <w:rPr>
          <w:rFonts w:eastAsia="Calibri"/>
          <w:noProof/>
          <w:kern w:val="2"/>
          <w14:ligatures w14:val="standardContextual"/>
        </w:rPr>
        <w:t>an overall lack of impact of its work</w:t>
      </w:r>
      <w:r w:rsidR="00FC0AF3">
        <w:rPr>
          <w:rFonts w:eastAsia="Calibri"/>
          <w:noProof/>
          <w:kern w:val="2"/>
          <w14:ligatures w14:val="standardContextual"/>
        </w:rPr>
        <w:t xml:space="preserve"> and a limited uptake of its proposals by the</w:t>
      </w:r>
      <w:r w:rsidR="00FC0AF3" w:rsidRPr="614D3F52">
        <w:rPr>
          <w:rFonts w:eastAsia="Calibri"/>
          <w:noProof/>
        </w:rPr>
        <w:t xml:space="preserve"> </w:t>
      </w:r>
      <w:r w:rsidR="00194854" w:rsidRPr="614D3F52">
        <w:rPr>
          <w:rFonts w:eastAsia="Calibri"/>
          <w:noProof/>
        </w:rPr>
        <w:t>previous</w:t>
      </w:r>
      <w:r w:rsidR="00FC0AF3">
        <w:rPr>
          <w:rFonts w:eastAsia="Calibri"/>
          <w:noProof/>
          <w:kern w:val="2"/>
          <w14:ligatures w14:val="standardContextual"/>
        </w:rPr>
        <w:t xml:space="preserve"> government</w:t>
      </w:r>
      <w:r w:rsidR="00FC0AF3" w:rsidRPr="006536D8">
        <w:rPr>
          <w:rStyle w:val="FootnoteReference"/>
          <w:rFonts w:eastAsia="Calibri"/>
          <w:noProof/>
          <w:kern w:val="2"/>
          <w14:ligatures w14:val="standardContextual"/>
        </w:rPr>
        <w:footnoteReference w:id="69"/>
      </w:r>
      <w:r w:rsidR="00FC0AF3">
        <w:rPr>
          <w:rFonts w:eastAsia="Calibri"/>
          <w:noProof/>
          <w:kern w:val="2"/>
          <w14:ligatures w14:val="standardContextual"/>
        </w:rPr>
        <w:t>.</w:t>
      </w:r>
      <w:r w:rsidR="00FC0AF3" w:rsidRPr="06F7AFF9">
        <w:rPr>
          <w:noProof/>
          <w:kern w:val="2"/>
          <w14:ligatures w14:val="standardContextual"/>
        </w:rPr>
        <w:t xml:space="preserve"> </w:t>
      </w:r>
      <w:r w:rsidR="00FC0AF3">
        <w:rPr>
          <w:rFonts w:eastAsia="Calibri"/>
          <w:noProof/>
          <w:kern w:val="2"/>
          <w14:ligatures w14:val="standardContextual"/>
        </w:rPr>
        <w:t>T</w:t>
      </w:r>
      <w:r w:rsidR="00FC0AF3" w:rsidRPr="006536D8">
        <w:rPr>
          <w:rFonts w:eastAsia="Calibri"/>
          <w:noProof/>
          <w:kern w:val="2"/>
          <w14:ligatures w14:val="standardContextual"/>
        </w:rPr>
        <w:t>he ACTF</w:t>
      </w:r>
      <w:r w:rsidR="00FC0AF3">
        <w:rPr>
          <w:rFonts w:eastAsia="Calibri"/>
          <w:noProof/>
          <w:kern w:val="2"/>
          <w14:ligatures w14:val="standardContextual"/>
        </w:rPr>
        <w:t xml:space="preserve"> failed</w:t>
      </w:r>
      <w:r w:rsidR="00FC0AF3" w:rsidRPr="006536D8">
        <w:rPr>
          <w:rFonts w:eastAsia="Calibri"/>
          <w:noProof/>
          <w:kern w:val="2"/>
          <w14:ligatures w14:val="standardContextual"/>
        </w:rPr>
        <w:t xml:space="preserve"> to adopt its annual report in spring 2025 due to lack of consensus, </w:t>
      </w:r>
      <w:r w:rsidR="00FC0AF3">
        <w:rPr>
          <w:rFonts w:eastAsia="Calibri"/>
          <w:noProof/>
          <w:kern w:val="2"/>
          <w14:ligatures w14:val="standardContextual"/>
        </w:rPr>
        <w:t xml:space="preserve">which </w:t>
      </w:r>
      <w:r w:rsidR="00FC0AF3" w:rsidRPr="006536D8">
        <w:rPr>
          <w:rFonts w:eastAsia="Calibri"/>
          <w:noProof/>
          <w:kern w:val="2"/>
          <w14:ligatures w14:val="standardContextual"/>
        </w:rPr>
        <w:t xml:space="preserve">prevented </w:t>
      </w:r>
      <w:r w:rsidR="00FC0AF3">
        <w:rPr>
          <w:rFonts w:eastAsia="Calibri"/>
          <w:noProof/>
          <w:kern w:val="2"/>
          <w14:ligatures w14:val="standardContextual"/>
        </w:rPr>
        <w:t>it</w:t>
      </w:r>
      <w:r w:rsidR="00FC0AF3" w:rsidRPr="006536D8">
        <w:rPr>
          <w:rFonts w:eastAsia="Calibri"/>
          <w:noProof/>
          <w:kern w:val="2"/>
          <w14:ligatures w14:val="standardContextual"/>
        </w:rPr>
        <w:t xml:space="preserve"> from addressing its proposals to the Government</w:t>
      </w:r>
      <w:r w:rsidR="00FC0AF3" w:rsidRPr="006536D8">
        <w:rPr>
          <w:rStyle w:val="FootnoteReference"/>
          <w:rFonts w:eastAsia="Calibri"/>
          <w:noProof/>
          <w:kern w:val="2"/>
          <w14:ligatures w14:val="standardContextual"/>
        </w:rPr>
        <w:footnoteReference w:id="70"/>
      </w:r>
      <w:r w:rsidR="00FC0AF3" w:rsidRPr="006536D8">
        <w:rPr>
          <w:rFonts w:eastAsia="Calibri"/>
          <w:noProof/>
          <w:kern w:val="2"/>
          <w14:ligatures w14:val="standardContextual"/>
        </w:rPr>
        <w:t>. To avoid a similar situation, in September 2025</w:t>
      </w:r>
      <w:r w:rsidR="00FC0AF3" w:rsidRPr="06F7AFF9">
        <w:rPr>
          <w:rFonts w:eastAsia="Calibri"/>
          <w:noProof/>
        </w:rPr>
        <w:t>, the ACTF revised its rules of procedure whereby t</w:t>
      </w:r>
      <w:r w:rsidR="00FC0AF3">
        <w:rPr>
          <w:rFonts w:eastAsia="Calibri"/>
          <w:noProof/>
        </w:rPr>
        <w:t>he</w:t>
      </w:r>
      <w:r w:rsidR="00FC0AF3" w:rsidRPr="4485DF31">
        <w:rPr>
          <w:noProof/>
        </w:rPr>
        <w:t xml:space="preserve"> ACTF </w:t>
      </w:r>
      <w:r w:rsidR="00786AEB">
        <w:rPr>
          <w:noProof/>
        </w:rPr>
        <w:t>will</w:t>
      </w:r>
      <w:r w:rsidR="00FC0AF3" w:rsidRPr="4485DF31">
        <w:rPr>
          <w:noProof/>
        </w:rPr>
        <w:t xml:space="preserve"> produce shorter, focused thematic reports which will form part of the annual report</w:t>
      </w:r>
      <w:r w:rsidR="00FC0AF3" w:rsidRPr="4485DF31">
        <w:rPr>
          <w:rStyle w:val="FootnoteReference"/>
          <w:noProof/>
        </w:rPr>
        <w:footnoteReference w:id="71"/>
      </w:r>
      <w:r w:rsidR="00FC0AF3" w:rsidRPr="06F7AFF9">
        <w:rPr>
          <w:noProof/>
          <w:kern w:val="2"/>
          <w14:ligatures w14:val="standardContextual"/>
        </w:rPr>
        <w:t xml:space="preserve">. </w:t>
      </w:r>
      <w:r w:rsidR="00C90D9D" w:rsidRPr="614D3F52">
        <w:rPr>
          <w:rFonts w:eastAsia="Calibri"/>
          <w:noProof/>
        </w:rPr>
        <w:t xml:space="preserve">The </w:t>
      </w:r>
      <w:r w:rsidR="007A12A5" w:rsidRPr="007849E6">
        <w:rPr>
          <w:rFonts w:eastAsia="Calibri"/>
          <w:noProof/>
        </w:rPr>
        <w:t>omnibus law</w:t>
      </w:r>
      <w:r w:rsidR="00685700" w:rsidRPr="614D3F52">
        <w:rPr>
          <w:rFonts w:eastAsia="Calibri"/>
          <w:noProof/>
        </w:rPr>
        <w:t xml:space="preserve"> of</w:t>
      </w:r>
      <w:r w:rsidR="00C90D9D" w:rsidRPr="614D3F52">
        <w:rPr>
          <w:rFonts w:eastAsia="Calibri"/>
          <w:noProof/>
        </w:rPr>
        <w:t xml:space="preserve"> June 2026</w:t>
      </w:r>
      <w:r w:rsidR="00B8380A" w:rsidRPr="614D3F52">
        <w:rPr>
          <w:rFonts w:eastAsia="Calibri"/>
          <w:noProof/>
        </w:rPr>
        <w:t xml:space="preserve"> </w:t>
      </w:r>
      <w:r w:rsidR="00B67E31" w:rsidRPr="614D3F52">
        <w:rPr>
          <w:rFonts w:eastAsia="Calibri"/>
          <w:noProof/>
        </w:rPr>
        <w:t>set</w:t>
      </w:r>
      <w:r w:rsidR="00927FA7" w:rsidRPr="614D3F52">
        <w:rPr>
          <w:rFonts w:eastAsia="Calibri"/>
          <w:noProof/>
        </w:rPr>
        <w:t>s</w:t>
      </w:r>
      <w:r w:rsidR="00B67E31" w:rsidRPr="614D3F52">
        <w:rPr>
          <w:rFonts w:eastAsia="Calibri"/>
          <w:noProof/>
        </w:rPr>
        <w:t xml:space="preserve"> a </w:t>
      </w:r>
      <w:r w:rsidR="00E553F7" w:rsidRPr="614D3F52">
        <w:rPr>
          <w:rFonts w:eastAsia="Calibri"/>
          <w:noProof/>
        </w:rPr>
        <w:t>five</w:t>
      </w:r>
      <w:r w:rsidR="00FD35BA" w:rsidRPr="614D3F52">
        <w:rPr>
          <w:rFonts w:eastAsia="Calibri"/>
          <w:noProof/>
        </w:rPr>
        <w:t>-</w:t>
      </w:r>
      <w:r w:rsidR="00E553F7" w:rsidRPr="614D3F52">
        <w:rPr>
          <w:rFonts w:eastAsia="Calibri"/>
          <w:noProof/>
        </w:rPr>
        <w:t xml:space="preserve">year term for </w:t>
      </w:r>
      <w:r w:rsidR="00D14925" w:rsidRPr="614D3F52">
        <w:rPr>
          <w:rFonts w:eastAsia="Calibri"/>
          <w:noProof/>
        </w:rPr>
        <w:t xml:space="preserve">the </w:t>
      </w:r>
      <w:r w:rsidR="00E553F7" w:rsidRPr="614D3F52">
        <w:rPr>
          <w:rFonts w:eastAsia="Calibri"/>
          <w:noProof/>
        </w:rPr>
        <w:t>members of the ACTF</w:t>
      </w:r>
      <w:r w:rsidR="00685700" w:rsidRPr="614D3F52">
        <w:rPr>
          <w:rFonts w:eastAsia="Calibri"/>
          <w:noProof/>
        </w:rPr>
        <w:t>, establish</w:t>
      </w:r>
      <w:r w:rsidR="00A609DC" w:rsidRPr="614D3F52">
        <w:rPr>
          <w:rFonts w:eastAsia="Calibri"/>
          <w:noProof/>
        </w:rPr>
        <w:t>es</w:t>
      </w:r>
      <w:r w:rsidR="00685700" w:rsidRPr="614D3F52">
        <w:rPr>
          <w:rFonts w:eastAsia="Calibri"/>
          <w:noProof/>
        </w:rPr>
        <w:t xml:space="preserve"> </w:t>
      </w:r>
      <w:r w:rsidR="00A15E82" w:rsidRPr="614D3F52">
        <w:rPr>
          <w:rFonts w:eastAsia="Calibri"/>
          <w:noProof/>
        </w:rPr>
        <w:t xml:space="preserve">a right to remuneration </w:t>
      </w:r>
      <w:r w:rsidR="005857DE" w:rsidRPr="614D3F52">
        <w:rPr>
          <w:rFonts w:eastAsia="Calibri"/>
          <w:noProof/>
        </w:rPr>
        <w:t xml:space="preserve">for the </w:t>
      </w:r>
      <w:r w:rsidR="007B2437" w:rsidRPr="614D3F52">
        <w:rPr>
          <w:rFonts w:eastAsia="Calibri"/>
          <w:noProof/>
        </w:rPr>
        <w:t xml:space="preserve">members </w:t>
      </w:r>
      <w:r w:rsidR="005857DE" w:rsidRPr="00180E08">
        <w:rPr>
          <w:noProof/>
        </w:rPr>
        <w:t>representing non-governmental</w:t>
      </w:r>
      <w:r w:rsidR="005857DE">
        <w:rPr>
          <w:noProof/>
        </w:rPr>
        <w:t xml:space="preserve"> actors</w:t>
      </w:r>
      <w:r w:rsidR="00A609DC">
        <w:rPr>
          <w:noProof/>
        </w:rPr>
        <w:t>,</w:t>
      </w:r>
      <w:r w:rsidR="00685700">
        <w:rPr>
          <w:noProof/>
        </w:rPr>
        <w:t xml:space="preserve"> and empower</w:t>
      </w:r>
      <w:r w:rsidR="00A609DC">
        <w:rPr>
          <w:noProof/>
        </w:rPr>
        <w:t>s</w:t>
      </w:r>
      <w:r w:rsidR="00685700">
        <w:rPr>
          <w:noProof/>
        </w:rPr>
        <w:t xml:space="preserve"> the ACTF to</w:t>
      </w:r>
      <w:r w:rsidR="00685700" w:rsidRPr="00180E08">
        <w:rPr>
          <w:noProof/>
        </w:rPr>
        <w:t xml:space="preserve"> establish its </w:t>
      </w:r>
      <w:r w:rsidR="00685700">
        <w:rPr>
          <w:noProof/>
        </w:rPr>
        <w:t xml:space="preserve">own </w:t>
      </w:r>
      <w:r w:rsidR="00685700" w:rsidRPr="00180E08">
        <w:rPr>
          <w:noProof/>
        </w:rPr>
        <w:t>rules of procedure and</w:t>
      </w:r>
      <w:r w:rsidR="00685700">
        <w:rPr>
          <w:noProof/>
        </w:rPr>
        <w:t xml:space="preserve"> </w:t>
      </w:r>
      <w:r w:rsidR="00685700" w:rsidRPr="00180E08">
        <w:rPr>
          <w:noProof/>
        </w:rPr>
        <w:t>annual work plan</w:t>
      </w:r>
      <w:r w:rsidR="007B2437">
        <w:rPr>
          <w:noProof/>
        </w:rPr>
        <w:t xml:space="preserve">. </w:t>
      </w:r>
    </w:p>
    <w:p w14:paraId="60388402" w14:textId="6EA0B2A7" w:rsidR="00FC0AF3" w:rsidRPr="006536D8" w:rsidRDefault="00FC0AF3" w:rsidP="00FC0AF3">
      <w:pPr>
        <w:rPr>
          <w:noProof/>
          <w:lang w:eastAsia="en-GB"/>
        </w:rPr>
      </w:pPr>
      <w:r w:rsidRPr="4485DF31">
        <w:rPr>
          <w:b/>
          <w:bCs/>
          <w:noProof/>
          <w:lang w:eastAsia="en-GB"/>
        </w:rPr>
        <w:t xml:space="preserve">The number of accepted motions for revision of decisions of </w:t>
      </w:r>
      <w:r w:rsidRPr="1DC3B4BE">
        <w:rPr>
          <w:b/>
          <w:bCs/>
          <w:noProof/>
          <w:lang w:eastAsia="en-GB"/>
        </w:rPr>
        <w:t>investigat</w:t>
      </w:r>
      <w:r>
        <w:rPr>
          <w:b/>
          <w:bCs/>
          <w:noProof/>
          <w:lang w:eastAsia="en-GB"/>
        </w:rPr>
        <w:t>i</w:t>
      </w:r>
      <w:r w:rsidRPr="1DC3B4BE">
        <w:rPr>
          <w:b/>
          <w:bCs/>
          <w:noProof/>
          <w:lang w:eastAsia="en-GB"/>
        </w:rPr>
        <w:t>ve</w:t>
      </w:r>
      <w:r w:rsidRPr="4485DF31">
        <w:rPr>
          <w:b/>
          <w:bCs/>
          <w:noProof/>
          <w:lang w:eastAsia="en-GB"/>
        </w:rPr>
        <w:t xml:space="preserve"> authorities remained stable compared to the previous year</w:t>
      </w:r>
      <w:r w:rsidRPr="1DC3B4BE">
        <w:rPr>
          <w:noProof/>
          <w:lang w:eastAsia="en-GB"/>
        </w:rPr>
        <w:t>. In 2025, 85 motions for a revision of a decision not to investigate corruption suspicions or terminate ongoing investigations were submitted to the Buda Central District Court. The court upheld the motion for revision in seven cases, annulling the decision of the investigating authority, and rejected or terminated the procedure in 71 cases, with seven cases still pending as of 31 December 2025</w:t>
      </w:r>
      <w:r w:rsidRPr="1DC3B4BE">
        <w:rPr>
          <w:rStyle w:val="FootnoteReference"/>
          <w:noProof/>
          <w:lang w:eastAsia="en-GB"/>
        </w:rPr>
        <w:footnoteReference w:id="72"/>
      </w:r>
      <w:r w:rsidRPr="1DC3B4BE">
        <w:rPr>
          <w:noProof/>
          <w:lang w:eastAsia="en-GB"/>
        </w:rPr>
        <w:t>. Between 1 January 2023 and 30 June 2025, the prosecution service granted 58 motions on its own authority</w:t>
      </w:r>
      <w:r w:rsidRPr="1DC3B4BE">
        <w:rPr>
          <w:rStyle w:val="FootnoteReference"/>
          <w:noProof/>
          <w:lang w:eastAsia="en-GB"/>
        </w:rPr>
        <w:footnoteReference w:id="73"/>
      </w:r>
      <w:r w:rsidRPr="1DC3B4BE">
        <w:rPr>
          <w:noProof/>
          <w:lang w:eastAsia="en-GB"/>
        </w:rPr>
        <w:t xml:space="preserve">. According to some CSOs, law enforcement bodies </w:t>
      </w:r>
      <w:r w:rsidR="00C8300D">
        <w:rPr>
          <w:noProof/>
          <w:lang w:eastAsia="en-GB"/>
        </w:rPr>
        <w:t>have been</w:t>
      </w:r>
      <w:r>
        <w:rPr>
          <w:noProof/>
          <w:lang w:eastAsia="en-GB"/>
        </w:rPr>
        <w:t xml:space="preserve"> inclined to interpret</w:t>
      </w:r>
      <w:r w:rsidRPr="1DC3B4BE">
        <w:rPr>
          <w:noProof/>
          <w:lang w:eastAsia="en-GB"/>
        </w:rPr>
        <w:t xml:space="preserve"> the law </w:t>
      </w:r>
      <w:r>
        <w:rPr>
          <w:noProof/>
          <w:lang w:eastAsia="en-GB"/>
        </w:rPr>
        <w:t>in a restrictive manner</w:t>
      </w:r>
      <w:r w:rsidRPr="1DC3B4BE">
        <w:rPr>
          <w:noProof/>
          <w:lang w:eastAsia="en-GB"/>
        </w:rPr>
        <w:t xml:space="preserve"> to justify dismissals and </w:t>
      </w:r>
      <w:r>
        <w:rPr>
          <w:noProof/>
          <w:lang w:eastAsia="en-GB"/>
        </w:rPr>
        <w:t xml:space="preserve">avoid the filing of motions, thereby </w:t>
      </w:r>
      <w:r w:rsidRPr="1DC3B4BE">
        <w:rPr>
          <w:noProof/>
          <w:lang w:eastAsia="en-GB"/>
        </w:rPr>
        <w:t>prevent</w:t>
      </w:r>
      <w:r>
        <w:rPr>
          <w:noProof/>
          <w:lang w:eastAsia="en-GB"/>
        </w:rPr>
        <w:t>ing</w:t>
      </w:r>
      <w:r w:rsidRPr="1DC3B4BE">
        <w:rPr>
          <w:noProof/>
          <w:lang w:eastAsia="en-GB"/>
        </w:rPr>
        <w:t xml:space="preserve"> the court from ordering the continuation of a previously dismissed or closed investigation</w:t>
      </w:r>
      <w:r w:rsidRPr="1DC3B4BE">
        <w:rPr>
          <w:rStyle w:val="FootnoteReference"/>
          <w:noProof/>
          <w:lang w:eastAsia="en-GB"/>
        </w:rPr>
        <w:footnoteReference w:id="74"/>
      </w:r>
      <w:r w:rsidRPr="1DC3B4BE">
        <w:rPr>
          <w:noProof/>
          <w:lang w:eastAsia="en-GB"/>
        </w:rPr>
        <w:t xml:space="preserve">. </w:t>
      </w:r>
      <w:r w:rsidR="00385CD6">
        <w:rPr>
          <w:noProof/>
          <w:lang w:eastAsia="en-GB"/>
        </w:rPr>
        <w:t xml:space="preserve">The </w:t>
      </w:r>
      <w:r w:rsidR="00923BE5" w:rsidRPr="7EB52FB2">
        <w:rPr>
          <w:noProof/>
          <w:lang w:eastAsia="en-GB"/>
        </w:rPr>
        <w:t>omnibus</w:t>
      </w:r>
      <w:r w:rsidR="00923BE5">
        <w:rPr>
          <w:noProof/>
          <w:lang w:eastAsia="en-GB"/>
        </w:rPr>
        <w:t xml:space="preserve"> law of</w:t>
      </w:r>
      <w:r w:rsidR="00385CD6">
        <w:rPr>
          <w:noProof/>
          <w:lang w:eastAsia="en-GB"/>
        </w:rPr>
        <w:t xml:space="preserve"> June 2026 </w:t>
      </w:r>
      <w:r w:rsidR="00120CD9">
        <w:rPr>
          <w:noProof/>
          <w:lang w:eastAsia="en-GB"/>
        </w:rPr>
        <w:t xml:space="preserve">strengthens the procedure by </w:t>
      </w:r>
      <w:r w:rsidR="009077F1">
        <w:rPr>
          <w:noProof/>
          <w:lang w:eastAsia="en-GB"/>
        </w:rPr>
        <w:t>e</w:t>
      </w:r>
      <w:r w:rsidR="00EC5AEE">
        <w:rPr>
          <w:noProof/>
          <w:lang w:eastAsia="en-GB"/>
        </w:rPr>
        <w:t>xtend</w:t>
      </w:r>
      <w:r w:rsidR="00120CD9">
        <w:rPr>
          <w:noProof/>
          <w:lang w:eastAsia="en-GB"/>
        </w:rPr>
        <w:t>ing</w:t>
      </w:r>
      <w:r w:rsidR="00EC5AEE">
        <w:rPr>
          <w:noProof/>
          <w:lang w:eastAsia="en-GB"/>
        </w:rPr>
        <w:t xml:space="preserve"> </w:t>
      </w:r>
      <w:r w:rsidR="00850F8E">
        <w:rPr>
          <w:noProof/>
          <w:lang w:eastAsia="en-GB"/>
        </w:rPr>
        <w:t>its</w:t>
      </w:r>
      <w:r w:rsidR="00EC5AEE">
        <w:rPr>
          <w:noProof/>
          <w:lang w:eastAsia="en-GB"/>
        </w:rPr>
        <w:t xml:space="preserve"> scope of </w:t>
      </w:r>
      <w:r w:rsidR="005F425D">
        <w:rPr>
          <w:noProof/>
          <w:lang w:eastAsia="en-GB"/>
        </w:rPr>
        <w:t xml:space="preserve">application </w:t>
      </w:r>
      <w:r w:rsidR="005F425D" w:rsidRPr="005F425D">
        <w:rPr>
          <w:noProof/>
          <w:lang w:eastAsia="en-GB"/>
        </w:rPr>
        <w:t>to (non-time-barred) criminal offences committed before 1 January 2023</w:t>
      </w:r>
      <w:r w:rsidR="00850F8E">
        <w:rPr>
          <w:noProof/>
          <w:lang w:eastAsia="en-GB"/>
        </w:rPr>
        <w:t xml:space="preserve"> and</w:t>
      </w:r>
      <w:r w:rsidR="005E7C6D">
        <w:rPr>
          <w:noProof/>
          <w:lang w:eastAsia="en-GB"/>
        </w:rPr>
        <w:t xml:space="preserve"> </w:t>
      </w:r>
      <w:r w:rsidR="009616E0">
        <w:rPr>
          <w:noProof/>
          <w:lang w:eastAsia="en-GB"/>
        </w:rPr>
        <w:t xml:space="preserve">by </w:t>
      </w:r>
      <w:r w:rsidR="005E7C6D" w:rsidRPr="0033729E">
        <w:rPr>
          <w:noProof/>
          <w:lang w:eastAsia="en-GB"/>
        </w:rPr>
        <w:t>giv</w:t>
      </w:r>
      <w:r w:rsidR="00EC3562">
        <w:rPr>
          <w:noProof/>
          <w:lang w:eastAsia="en-GB"/>
        </w:rPr>
        <w:t>ing</w:t>
      </w:r>
      <w:r w:rsidR="005E7C6D">
        <w:rPr>
          <w:rFonts w:eastAsia="Calibri"/>
          <w:noProof/>
          <w:lang w:eastAsia="en-GB"/>
        </w:rPr>
        <w:t xml:space="preserve"> </w:t>
      </w:r>
      <w:r w:rsidR="005E7C6D" w:rsidRPr="0033729E">
        <w:rPr>
          <w:rFonts w:eastAsia="Calibri"/>
          <w:noProof/>
          <w:lang w:eastAsia="en-GB"/>
        </w:rPr>
        <w:t xml:space="preserve">greater weight to the court’s </w:t>
      </w:r>
      <w:r w:rsidR="005E7C6D" w:rsidRPr="0033729E">
        <w:rPr>
          <w:noProof/>
          <w:lang w:eastAsia="en-GB"/>
        </w:rPr>
        <w:t>decision</w:t>
      </w:r>
      <w:r w:rsidR="0081566D">
        <w:rPr>
          <w:noProof/>
          <w:lang w:eastAsia="en-GB"/>
        </w:rPr>
        <w:t>s</w:t>
      </w:r>
      <w:r w:rsidR="00090644">
        <w:rPr>
          <w:rStyle w:val="FootnoteReference"/>
          <w:noProof/>
          <w:lang w:eastAsia="en-GB"/>
        </w:rPr>
        <w:footnoteReference w:id="75"/>
      </w:r>
      <w:r w:rsidR="00401B00">
        <w:rPr>
          <w:noProof/>
          <w:lang w:eastAsia="en-GB"/>
        </w:rPr>
        <w:t>.</w:t>
      </w:r>
      <w:r w:rsidR="0081566D">
        <w:rPr>
          <w:noProof/>
          <w:lang w:eastAsia="en-GB"/>
        </w:rPr>
        <w:t xml:space="preserve"> Moreover, the </w:t>
      </w:r>
      <w:r w:rsidR="00B47D8E">
        <w:rPr>
          <w:noProof/>
          <w:lang w:eastAsia="en-GB"/>
        </w:rPr>
        <w:t>law</w:t>
      </w:r>
      <w:r w:rsidR="0081566D">
        <w:rPr>
          <w:noProof/>
          <w:lang w:eastAsia="en-GB"/>
        </w:rPr>
        <w:t xml:space="preserve"> </w:t>
      </w:r>
      <w:r w:rsidR="00116FC3">
        <w:rPr>
          <w:noProof/>
          <w:lang w:eastAsia="en-GB"/>
        </w:rPr>
        <w:t xml:space="preserve">reinforces the role of the </w:t>
      </w:r>
      <w:r w:rsidR="00AB4F38">
        <w:rPr>
          <w:noProof/>
          <w:lang w:eastAsia="en-GB"/>
        </w:rPr>
        <w:t>IA</w:t>
      </w:r>
      <w:r w:rsidR="00116FC3">
        <w:rPr>
          <w:noProof/>
          <w:lang w:eastAsia="en-GB"/>
        </w:rPr>
        <w:t xml:space="preserve"> in the procedure by </w:t>
      </w:r>
      <w:r w:rsidR="00717729">
        <w:rPr>
          <w:noProof/>
          <w:lang w:eastAsia="en-GB"/>
        </w:rPr>
        <w:t xml:space="preserve">enabling </w:t>
      </w:r>
      <w:r w:rsidR="0000112E">
        <w:rPr>
          <w:noProof/>
          <w:lang w:eastAsia="en-GB"/>
        </w:rPr>
        <w:t xml:space="preserve">it </w:t>
      </w:r>
      <w:r w:rsidR="00A03438">
        <w:rPr>
          <w:noProof/>
          <w:lang w:eastAsia="en-GB"/>
        </w:rPr>
        <w:t xml:space="preserve">to </w:t>
      </w:r>
      <w:r w:rsidR="00996ABE">
        <w:rPr>
          <w:noProof/>
          <w:lang w:eastAsia="en-GB"/>
        </w:rPr>
        <w:t xml:space="preserve">review the </w:t>
      </w:r>
      <w:r w:rsidR="00C8179B">
        <w:rPr>
          <w:noProof/>
          <w:lang w:eastAsia="en-GB"/>
        </w:rPr>
        <w:t>original decision and</w:t>
      </w:r>
      <w:r w:rsidR="00A03438">
        <w:rPr>
          <w:noProof/>
          <w:lang w:eastAsia="en-GB"/>
        </w:rPr>
        <w:t xml:space="preserve"> </w:t>
      </w:r>
      <w:r w:rsidR="0000112E">
        <w:rPr>
          <w:noProof/>
          <w:lang w:eastAsia="en-GB"/>
        </w:rPr>
        <w:t xml:space="preserve">request access to the </w:t>
      </w:r>
      <w:r w:rsidR="00E96561">
        <w:rPr>
          <w:noProof/>
          <w:lang w:eastAsia="en-GB"/>
        </w:rPr>
        <w:t xml:space="preserve">criminal </w:t>
      </w:r>
      <w:r w:rsidR="00823CAA">
        <w:rPr>
          <w:noProof/>
          <w:lang w:eastAsia="en-GB"/>
        </w:rPr>
        <w:t xml:space="preserve">proceeding </w:t>
      </w:r>
      <w:r w:rsidR="00E96561">
        <w:rPr>
          <w:noProof/>
          <w:lang w:eastAsia="en-GB"/>
        </w:rPr>
        <w:t>file</w:t>
      </w:r>
      <w:r w:rsidR="00A03438">
        <w:rPr>
          <w:noProof/>
          <w:lang w:eastAsia="en-GB"/>
        </w:rPr>
        <w:t>s</w:t>
      </w:r>
      <w:r w:rsidR="00403ED2">
        <w:rPr>
          <w:rStyle w:val="FootnoteReference"/>
          <w:noProof/>
          <w:lang w:eastAsia="en-GB"/>
        </w:rPr>
        <w:footnoteReference w:id="76"/>
      </w:r>
      <w:r w:rsidR="00434638">
        <w:rPr>
          <w:noProof/>
          <w:lang w:eastAsia="en-GB"/>
        </w:rPr>
        <w:t>.</w:t>
      </w:r>
      <w:r w:rsidR="00401B00">
        <w:rPr>
          <w:noProof/>
          <w:lang w:eastAsia="en-GB"/>
        </w:rPr>
        <w:t xml:space="preserve"> </w:t>
      </w:r>
      <w:r w:rsidRPr="1DC3B4BE">
        <w:rPr>
          <w:noProof/>
          <w:lang w:val="en-IE" w:eastAsia="en-GB"/>
        </w:rPr>
        <w:t>No private prosecution has been initiated so far</w:t>
      </w:r>
      <w:r w:rsidRPr="1DC3B4BE">
        <w:rPr>
          <w:rStyle w:val="FootnoteReference"/>
          <w:noProof/>
          <w:lang w:val="en-IE" w:eastAsia="en-GB"/>
        </w:rPr>
        <w:footnoteReference w:id="77"/>
      </w:r>
      <w:r w:rsidRPr="1DC3B4BE">
        <w:rPr>
          <w:noProof/>
          <w:lang w:val="en-IE" w:eastAsia="en-GB"/>
        </w:rPr>
        <w:t>.</w:t>
      </w:r>
    </w:p>
    <w:p w14:paraId="732D2667" w14:textId="10D7E731" w:rsidR="00FC0AF3" w:rsidRPr="006536D8" w:rsidRDefault="00497CDF" w:rsidP="00FC0AF3">
      <w:pPr>
        <w:rPr>
          <w:noProof/>
          <w:lang w:eastAsia="en-GB"/>
        </w:rPr>
      </w:pPr>
      <w:r>
        <w:rPr>
          <w:b/>
          <w:bCs/>
          <w:noProof/>
          <w:lang w:eastAsia="en-GB"/>
        </w:rPr>
        <w:t>L</w:t>
      </w:r>
      <w:r w:rsidR="00FC0AF3" w:rsidRPr="4485DF31">
        <w:rPr>
          <w:b/>
          <w:bCs/>
          <w:noProof/>
          <w:lang w:eastAsia="en-GB"/>
        </w:rPr>
        <w:t xml:space="preserve">ifestyle checks and integrity tests as regards ‘protected staff’ </w:t>
      </w:r>
      <w:r w:rsidR="00621953">
        <w:rPr>
          <w:b/>
          <w:bCs/>
          <w:noProof/>
          <w:lang w:eastAsia="en-GB"/>
        </w:rPr>
        <w:t>remain</w:t>
      </w:r>
      <w:r w:rsidR="00984766">
        <w:rPr>
          <w:b/>
          <w:bCs/>
          <w:noProof/>
          <w:lang w:eastAsia="en-GB"/>
        </w:rPr>
        <w:t xml:space="preserve"> in use</w:t>
      </w:r>
      <w:r w:rsidR="00FC0AF3" w:rsidRPr="4485DF31">
        <w:rPr>
          <w:b/>
          <w:bCs/>
          <w:noProof/>
          <w:lang w:eastAsia="en-GB"/>
        </w:rPr>
        <w:t xml:space="preserve"> </w:t>
      </w:r>
      <w:r w:rsidR="00005E41">
        <w:rPr>
          <w:b/>
          <w:bCs/>
          <w:noProof/>
          <w:lang w:eastAsia="en-GB"/>
        </w:rPr>
        <w:t>with</w:t>
      </w:r>
      <w:r>
        <w:rPr>
          <w:b/>
          <w:bCs/>
          <w:noProof/>
          <w:lang w:eastAsia="en-GB"/>
        </w:rPr>
        <w:t xml:space="preserve"> </w:t>
      </w:r>
      <w:r w:rsidR="00FC0AF3" w:rsidRPr="4485DF31">
        <w:rPr>
          <w:b/>
          <w:bCs/>
          <w:noProof/>
          <w:lang w:eastAsia="en-GB"/>
        </w:rPr>
        <w:t xml:space="preserve">the </w:t>
      </w:r>
      <w:r w:rsidR="00FC0AF3">
        <w:rPr>
          <w:b/>
          <w:bCs/>
          <w:noProof/>
          <w:lang w:eastAsia="en-GB"/>
        </w:rPr>
        <w:t xml:space="preserve">extensive use </w:t>
      </w:r>
      <w:r w:rsidR="00FC0AF3" w:rsidRPr="4485DF31">
        <w:rPr>
          <w:b/>
          <w:bCs/>
          <w:noProof/>
          <w:lang w:eastAsia="en-GB"/>
        </w:rPr>
        <w:t xml:space="preserve">of secret surveillance </w:t>
      </w:r>
      <w:r w:rsidR="00005E41">
        <w:rPr>
          <w:b/>
          <w:bCs/>
          <w:noProof/>
          <w:lang w:eastAsia="en-GB"/>
        </w:rPr>
        <w:t>and</w:t>
      </w:r>
      <w:r w:rsidR="001062D4">
        <w:rPr>
          <w:b/>
          <w:bCs/>
          <w:noProof/>
          <w:lang w:eastAsia="en-GB"/>
        </w:rPr>
        <w:t xml:space="preserve"> insufficient</w:t>
      </w:r>
      <w:r w:rsidR="00FC0AF3" w:rsidRPr="4485DF31">
        <w:rPr>
          <w:b/>
          <w:bCs/>
          <w:noProof/>
          <w:lang w:eastAsia="en-GB"/>
        </w:rPr>
        <w:t xml:space="preserve"> safeguards rais</w:t>
      </w:r>
      <w:r w:rsidR="00E66B8B">
        <w:rPr>
          <w:b/>
          <w:bCs/>
          <w:noProof/>
          <w:lang w:eastAsia="en-GB"/>
        </w:rPr>
        <w:t>ing</w:t>
      </w:r>
      <w:r w:rsidR="00FC0AF3" w:rsidRPr="4485DF31">
        <w:rPr>
          <w:b/>
          <w:bCs/>
          <w:noProof/>
          <w:lang w:eastAsia="en-GB"/>
        </w:rPr>
        <w:t xml:space="preserve"> concerns with regard to the right to privacy</w:t>
      </w:r>
      <w:r w:rsidR="00FC0AF3">
        <w:rPr>
          <w:b/>
          <w:bCs/>
          <w:noProof/>
          <w:lang w:eastAsia="en-GB"/>
        </w:rPr>
        <w:t>,</w:t>
      </w:r>
      <w:r w:rsidR="00FC0AF3" w:rsidRPr="4485DF31">
        <w:rPr>
          <w:b/>
          <w:bCs/>
          <w:noProof/>
          <w:lang w:eastAsia="en-GB"/>
        </w:rPr>
        <w:t xml:space="preserve"> </w:t>
      </w:r>
      <w:r w:rsidR="00FC0AF3">
        <w:rPr>
          <w:b/>
          <w:bCs/>
          <w:noProof/>
          <w:lang w:eastAsia="en-GB"/>
        </w:rPr>
        <w:t>while</w:t>
      </w:r>
      <w:r w:rsidR="00FC0AF3" w:rsidRPr="4485DF31">
        <w:rPr>
          <w:b/>
          <w:bCs/>
          <w:noProof/>
          <w:lang w:eastAsia="en-GB"/>
        </w:rPr>
        <w:t xml:space="preserve"> no information is available about checks of high-level officials. </w:t>
      </w:r>
      <w:r w:rsidR="00FC0AF3" w:rsidRPr="4485DF31">
        <w:rPr>
          <w:noProof/>
          <w:lang w:eastAsia="en-GB"/>
        </w:rPr>
        <w:t>The powers of the National Protective Service (NPS), responsible for carrying out integrity tests and lifestyle monitoring, have been extended to allow for the use of covert means in cases of active bribery and abuse of function, as well as the use of polygraph testing in the context of such activities</w:t>
      </w:r>
      <w:r w:rsidR="00FC0AF3" w:rsidRPr="4485DF31">
        <w:rPr>
          <w:rStyle w:val="FootnoteReference"/>
          <w:noProof/>
          <w:lang w:eastAsia="en-GB"/>
        </w:rPr>
        <w:footnoteReference w:id="78"/>
      </w:r>
      <w:r w:rsidR="00FC0AF3" w:rsidRPr="4485DF31">
        <w:rPr>
          <w:noProof/>
          <w:lang w:eastAsia="en-GB"/>
        </w:rPr>
        <w:t>. The prosecution service reported that this had led to an increased rate of detections and indictments as regards protected staff</w:t>
      </w:r>
      <w:r w:rsidR="00FC0AF3" w:rsidRPr="4485DF31">
        <w:rPr>
          <w:rStyle w:val="FootnoteReference"/>
          <w:noProof/>
          <w:lang w:eastAsia="en-GB"/>
        </w:rPr>
        <w:footnoteReference w:id="79"/>
      </w:r>
      <w:r w:rsidR="00FC0AF3" w:rsidRPr="4485DF31">
        <w:rPr>
          <w:noProof/>
          <w:lang w:eastAsia="en-GB"/>
        </w:rPr>
        <w:t>. At the same time, a judgment of European Court of Human Rights found that the indiscriminate use of secret surveillance and the lack of effective safeguards raised concerns as regards privacy</w:t>
      </w:r>
      <w:r w:rsidR="00FC0AF3" w:rsidRPr="4485DF31">
        <w:rPr>
          <w:rStyle w:val="FootnoteReference"/>
          <w:noProof/>
          <w:lang w:eastAsia="en-GB"/>
        </w:rPr>
        <w:footnoteReference w:id="80"/>
      </w:r>
      <w:r w:rsidR="00FC0AF3" w:rsidRPr="4485DF31">
        <w:rPr>
          <w:noProof/>
          <w:lang w:eastAsia="en-GB"/>
        </w:rPr>
        <w:t xml:space="preserve">. The NPS has further expanded and upgraded its technical equipment. It has continued its training and awareness-raising activities among </w:t>
      </w:r>
      <w:r w:rsidR="0062143A">
        <w:rPr>
          <w:noProof/>
          <w:lang w:eastAsia="en-GB"/>
        </w:rPr>
        <w:t xml:space="preserve">certain categories of </w:t>
      </w:r>
      <w:r w:rsidR="00FC0AF3" w:rsidRPr="4485DF31">
        <w:rPr>
          <w:noProof/>
          <w:lang w:eastAsia="en-GB"/>
        </w:rPr>
        <w:t>‘protected staff’</w:t>
      </w:r>
      <w:r w:rsidR="00FC0AF3" w:rsidRPr="4485DF31">
        <w:rPr>
          <w:rStyle w:val="FootnoteReference"/>
          <w:noProof/>
          <w:lang w:eastAsia="en-GB"/>
        </w:rPr>
        <w:footnoteReference w:id="81"/>
      </w:r>
      <w:r w:rsidR="00FC0AF3" w:rsidRPr="4485DF31">
        <w:rPr>
          <w:noProof/>
          <w:lang w:eastAsia="en-GB"/>
        </w:rPr>
        <w:t xml:space="preserve">. There is still no publicly available </w:t>
      </w:r>
      <w:r w:rsidR="00FD1477">
        <w:rPr>
          <w:noProof/>
          <w:lang w:eastAsia="en-GB"/>
        </w:rPr>
        <w:t xml:space="preserve">statistical </w:t>
      </w:r>
      <w:r w:rsidR="00FC0AF3" w:rsidRPr="4485DF31">
        <w:rPr>
          <w:noProof/>
          <w:lang w:eastAsia="en-GB"/>
        </w:rPr>
        <w:t>data on the reliability tests or national security vetting conducted by the Constitution Protection Office, responsible for carrying out checks as regards high-ranking officials, given the confidentiality of its activities</w:t>
      </w:r>
      <w:r w:rsidR="00FC0AF3" w:rsidRPr="4485DF31">
        <w:rPr>
          <w:rStyle w:val="FootnoteReference"/>
          <w:noProof/>
          <w:lang w:eastAsia="en-GB"/>
        </w:rPr>
        <w:footnoteReference w:id="82"/>
      </w:r>
      <w:r w:rsidR="00FC0AF3" w:rsidRPr="4485DF31">
        <w:rPr>
          <w:noProof/>
          <w:lang w:eastAsia="en-GB"/>
        </w:rPr>
        <w:t xml:space="preserve">.  </w:t>
      </w:r>
    </w:p>
    <w:p w14:paraId="262729EB" w14:textId="5F092E6C" w:rsidR="00FC0AF3" w:rsidRPr="00C54309" w:rsidRDefault="00FC0AF3" w:rsidP="00FC0AF3">
      <w:pPr>
        <w:rPr>
          <w:noProof/>
          <w:lang w:val="hu-HU" w:eastAsia="en-GB"/>
        </w:rPr>
      </w:pPr>
      <w:r w:rsidRPr="4485DF31">
        <w:rPr>
          <w:b/>
          <w:bCs/>
          <w:noProof/>
          <w:lang w:eastAsia="en-GB"/>
        </w:rPr>
        <w:t>Whereas the number of indictments for corruption-related crimes has generally increased, there has been overall no progress on the recommendation to establish a robust track record in cases of high-level corruption</w:t>
      </w:r>
      <w:r w:rsidRPr="4485DF31">
        <w:rPr>
          <w:rStyle w:val="FootnoteReference"/>
          <w:b/>
          <w:bCs/>
          <w:noProof/>
          <w:lang w:eastAsia="en-GB"/>
        </w:rPr>
        <w:footnoteReference w:id="83"/>
      </w:r>
      <w:r w:rsidRPr="4485DF31">
        <w:rPr>
          <w:noProof/>
          <w:lang w:eastAsia="en-GB"/>
        </w:rPr>
        <w:t xml:space="preserve">. The prosecution service reports a 43% increase in the number of indictments for corruption offences overall. The </w:t>
      </w:r>
      <w:r>
        <w:rPr>
          <w:noProof/>
          <w:lang w:eastAsia="en-GB"/>
        </w:rPr>
        <w:t xml:space="preserve">former </w:t>
      </w:r>
      <w:r w:rsidRPr="4485DF31">
        <w:rPr>
          <w:noProof/>
          <w:lang w:eastAsia="en-GB"/>
        </w:rPr>
        <w:t>Government report</w:t>
      </w:r>
      <w:r>
        <w:rPr>
          <w:noProof/>
          <w:lang w:eastAsia="en-GB"/>
        </w:rPr>
        <w:t>ed</w:t>
      </w:r>
      <w:r w:rsidRPr="4485DF31">
        <w:rPr>
          <w:noProof/>
          <w:lang w:eastAsia="en-GB"/>
        </w:rPr>
        <w:t xml:space="preserve"> that these improved indicators may be attributed to the targeted activities of the NPS and to the level of specialisation of the Central Chief Prosecution Office of Investigation, which has an exclusive jurisdiction in investigating corruption offences</w:t>
      </w:r>
      <w:r w:rsidRPr="4485DF31">
        <w:rPr>
          <w:rStyle w:val="FootnoteReference"/>
          <w:noProof/>
          <w:lang w:eastAsia="en-GB"/>
        </w:rPr>
        <w:footnoteReference w:id="84"/>
      </w:r>
      <w:r w:rsidRPr="4485DF31">
        <w:rPr>
          <w:noProof/>
          <w:lang w:eastAsia="en-GB"/>
        </w:rPr>
        <w:t xml:space="preserve">. In 2025, </w:t>
      </w:r>
      <w:r>
        <w:rPr>
          <w:noProof/>
          <w:lang w:eastAsia="en-GB"/>
        </w:rPr>
        <w:t>380</w:t>
      </w:r>
      <w:r w:rsidRPr="4485DF31">
        <w:rPr>
          <w:noProof/>
          <w:lang w:eastAsia="en-GB"/>
        </w:rPr>
        <w:t xml:space="preserve"> persons received a final conviction for corruption crimes</w:t>
      </w:r>
      <w:r w:rsidRPr="009345D6">
        <w:rPr>
          <w:rStyle w:val="FootnoteReference"/>
          <w:noProof/>
          <w:lang w:eastAsia="en-GB"/>
        </w:rPr>
        <w:footnoteReference w:id="85"/>
      </w:r>
      <w:r w:rsidRPr="009345D6">
        <w:rPr>
          <w:noProof/>
          <w:lang w:eastAsia="en-GB"/>
        </w:rPr>
        <w:t>.</w:t>
      </w:r>
      <w:r w:rsidRPr="4485DF31">
        <w:rPr>
          <w:noProof/>
          <w:lang w:eastAsia="en-GB"/>
        </w:rPr>
        <w:t xml:space="preserve"> High-level corruption cases have been pending before the first-instance courts for years</w:t>
      </w:r>
      <w:r w:rsidRPr="4485DF31">
        <w:rPr>
          <w:rStyle w:val="FootnoteReference"/>
          <w:noProof/>
          <w:lang w:eastAsia="en-GB"/>
        </w:rPr>
        <w:footnoteReference w:id="86"/>
      </w:r>
      <w:r w:rsidRPr="4485DF31">
        <w:rPr>
          <w:noProof/>
          <w:lang w:eastAsia="en-GB"/>
        </w:rPr>
        <w:t>. The risk of political influence and undue interference in individual cases within the prosecution service and the police, as well as clientelism, favouritism and nepotism in high-level public administration remain areas of concern</w:t>
      </w:r>
      <w:r w:rsidRPr="4485DF31">
        <w:rPr>
          <w:rStyle w:val="FootnoteReference"/>
          <w:noProof/>
          <w:lang w:eastAsia="en-GB"/>
        </w:rPr>
        <w:footnoteReference w:id="87"/>
      </w:r>
      <w:r w:rsidRPr="4485DF31">
        <w:rPr>
          <w:noProof/>
          <w:lang w:eastAsia="en-GB"/>
        </w:rPr>
        <w:t xml:space="preserve">. </w:t>
      </w:r>
      <w:r w:rsidR="00DF5C8E">
        <w:rPr>
          <w:noProof/>
          <w:lang w:eastAsia="en-GB"/>
        </w:rPr>
        <w:t xml:space="preserve">In June 2026, the new Government </w:t>
      </w:r>
      <w:r w:rsidR="006C71FB">
        <w:rPr>
          <w:noProof/>
          <w:lang w:eastAsia="en-GB"/>
        </w:rPr>
        <w:t xml:space="preserve">submitted </w:t>
      </w:r>
      <w:r w:rsidR="00FD0883">
        <w:rPr>
          <w:noProof/>
          <w:lang w:eastAsia="en-GB"/>
        </w:rPr>
        <w:t>a draft constitutional amendment (‘the Seventeenth Amendment’) and</w:t>
      </w:r>
      <w:r w:rsidR="006C71FB">
        <w:rPr>
          <w:noProof/>
          <w:lang w:eastAsia="en-GB"/>
        </w:rPr>
        <w:t xml:space="preserve"> a draft law </w:t>
      </w:r>
      <w:r w:rsidR="00085C7F">
        <w:rPr>
          <w:noProof/>
          <w:lang w:eastAsia="en-GB"/>
        </w:rPr>
        <w:t xml:space="preserve">setting up </w:t>
      </w:r>
      <w:r w:rsidR="002B72B6">
        <w:rPr>
          <w:noProof/>
          <w:lang w:eastAsia="en-GB"/>
        </w:rPr>
        <w:t xml:space="preserve">a </w:t>
      </w:r>
      <w:r w:rsidR="00085C7F" w:rsidRPr="00085C7F">
        <w:rPr>
          <w:noProof/>
          <w:lang w:eastAsia="en-GB"/>
        </w:rPr>
        <w:t>National Asset Recovery and Protection Office</w:t>
      </w:r>
      <w:r w:rsidR="00805B53">
        <w:rPr>
          <w:noProof/>
          <w:lang w:eastAsia="en-GB"/>
        </w:rPr>
        <w:t xml:space="preserve"> </w:t>
      </w:r>
      <w:r w:rsidR="007A53FA">
        <w:rPr>
          <w:noProof/>
          <w:lang w:eastAsia="en-GB"/>
        </w:rPr>
        <w:t xml:space="preserve">(‘NARPO’) </w:t>
      </w:r>
      <w:r w:rsidR="00805B53">
        <w:rPr>
          <w:noProof/>
          <w:lang w:eastAsia="en-GB"/>
        </w:rPr>
        <w:t xml:space="preserve">for public consultation. </w:t>
      </w:r>
      <w:r>
        <w:rPr>
          <w:noProof/>
          <w:lang w:eastAsia="en-GB"/>
        </w:rPr>
        <w:t xml:space="preserve">The Seventeenth Amendment was adopted by the National Assembly on 13 July 2026 and is yet to be promulgated. </w:t>
      </w:r>
      <w:r w:rsidR="00805B53">
        <w:rPr>
          <w:noProof/>
          <w:lang w:eastAsia="en-GB"/>
        </w:rPr>
        <w:t xml:space="preserve">The </w:t>
      </w:r>
      <w:r w:rsidR="007A53FA">
        <w:rPr>
          <w:noProof/>
          <w:lang w:eastAsia="en-GB"/>
        </w:rPr>
        <w:t>NARPO</w:t>
      </w:r>
      <w:r w:rsidR="00805B53">
        <w:rPr>
          <w:noProof/>
          <w:lang w:eastAsia="en-GB"/>
        </w:rPr>
        <w:t xml:space="preserve"> is</w:t>
      </w:r>
      <w:r w:rsidR="00DF5C8E">
        <w:rPr>
          <w:noProof/>
          <w:lang w:eastAsia="en-GB"/>
        </w:rPr>
        <w:t xml:space="preserve"> </w:t>
      </w:r>
      <w:r w:rsidR="006E6895">
        <w:rPr>
          <w:noProof/>
          <w:lang w:eastAsia="en-GB"/>
        </w:rPr>
        <w:t xml:space="preserve">planned </w:t>
      </w:r>
      <w:r w:rsidR="00805B53">
        <w:rPr>
          <w:noProof/>
          <w:lang w:eastAsia="en-GB"/>
        </w:rPr>
        <w:t>to be</w:t>
      </w:r>
      <w:r w:rsidR="006E6895">
        <w:rPr>
          <w:noProof/>
          <w:lang w:eastAsia="en-GB"/>
        </w:rPr>
        <w:t xml:space="preserve"> an </w:t>
      </w:r>
      <w:r w:rsidR="006E6895" w:rsidRPr="006E6895">
        <w:rPr>
          <w:noProof/>
          <w:lang w:eastAsia="en-GB"/>
        </w:rPr>
        <w:t>independent agency combining</w:t>
      </w:r>
      <w:r w:rsidR="006E6895">
        <w:rPr>
          <w:noProof/>
          <w:lang w:eastAsia="en-GB"/>
        </w:rPr>
        <w:t xml:space="preserve"> a significant number of competences, including</w:t>
      </w:r>
      <w:r w:rsidR="006E6895" w:rsidRPr="006E6895">
        <w:rPr>
          <w:noProof/>
          <w:lang w:eastAsia="en-GB"/>
        </w:rPr>
        <w:t xml:space="preserve"> financial analysis, public</w:t>
      </w:r>
      <w:r w:rsidR="006E6895">
        <w:rPr>
          <w:noProof/>
          <w:lang w:eastAsia="en-GB"/>
        </w:rPr>
        <w:t xml:space="preserve"> </w:t>
      </w:r>
      <w:r w:rsidR="006E6895" w:rsidRPr="006E6895">
        <w:rPr>
          <w:noProof/>
          <w:lang w:eastAsia="en-GB"/>
        </w:rPr>
        <w:t>asset</w:t>
      </w:r>
      <w:r w:rsidR="006E6895">
        <w:rPr>
          <w:noProof/>
          <w:lang w:eastAsia="en-GB"/>
        </w:rPr>
        <w:t>-focused</w:t>
      </w:r>
      <w:r w:rsidR="006E6895" w:rsidRPr="006E6895">
        <w:rPr>
          <w:noProof/>
          <w:lang w:eastAsia="en-GB"/>
        </w:rPr>
        <w:t xml:space="preserve"> investigations, law enforcement, prosecution and litigation</w:t>
      </w:r>
      <w:r w:rsidR="001E0856">
        <w:rPr>
          <w:rStyle w:val="FootnoteReference"/>
          <w:noProof/>
          <w:lang w:eastAsia="en-GB"/>
        </w:rPr>
        <w:footnoteReference w:id="88"/>
      </w:r>
      <w:r w:rsidR="006E6895">
        <w:rPr>
          <w:noProof/>
          <w:lang w:eastAsia="en-GB"/>
        </w:rPr>
        <w:t xml:space="preserve">. </w:t>
      </w:r>
      <w:r w:rsidRPr="4485DF31">
        <w:rPr>
          <w:noProof/>
          <w:lang w:eastAsia="en-GB"/>
        </w:rPr>
        <w:t xml:space="preserve">The </w:t>
      </w:r>
      <w:r>
        <w:rPr>
          <w:noProof/>
          <w:lang w:eastAsia="en-GB"/>
        </w:rPr>
        <w:t xml:space="preserve">former </w:t>
      </w:r>
      <w:r w:rsidRPr="4485DF31">
        <w:rPr>
          <w:noProof/>
          <w:lang w:eastAsia="en-GB"/>
        </w:rPr>
        <w:t>Government report</w:t>
      </w:r>
      <w:r>
        <w:rPr>
          <w:noProof/>
          <w:lang w:eastAsia="en-GB"/>
        </w:rPr>
        <w:t>ed</w:t>
      </w:r>
      <w:r w:rsidRPr="4485DF31">
        <w:rPr>
          <w:noProof/>
          <w:lang w:eastAsia="en-GB"/>
        </w:rPr>
        <w:t xml:space="preserve"> good cooperation between the prosecution </w:t>
      </w:r>
      <w:r w:rsidR="00F15376">
        <w:rPr>
          <w:noProof/>
          <w:lang w:eastAsia="en-GB"/>
        </w:rPr>
        <w:t xml:space="preserve">service </w:t>
      </w:r>
      <w:r w:rsidRPr="4485DF31">
        <w:rPr>
          <w:noProof/>
          <w:lang w:eastAsia="en-GB"/>
        </w:rPr>
        <w:t>and OLAF, with investigations initiated in all cases where judicial recommendations were sent by OLAF</w:t>
      </w:r>
      <w:r>
        <w:rPr>
          <w:rStyle w:val="FootnoteReference"/>
          <w:noProof/>
          <w:lang w:eastAsia="en-GB"/>
        </w:rPr>
        <w:footnoteReference w:id="89"/>
      </w:r>
      <w:r w:rsidRPr="4485DF31">
        <w:rPr>
          <w:noProof/>
          <w:lang w:eastAsia="en-GB"/>
        </w:rPr>
        <w:t xml:space="preserve">. </w:t>
      </w:r>
      <w:r w:rsidR="008465B5">
        <w:rPr>
          <w:noProof/>
        </w:rPr>
        <w:t xml:space="preserve">On 29 May 2026, Hungary notified its intention to participate in the </w:t>
      </w:r>
      <w:r w:rsidR="008465B5">
        <w:rPr>
          <w:noProof/>
          <w:lang w:eastAsia="fr-FR"/>
        </w:rPr>
        <w:t>enhanced cooperation on the European Public Prosecutor’s Office</w:t>
      </w:r>
      <w:r w:rsidR="008465B5">
        <w:rPr>
          <w:noProof/>
        </w:rPr>
        <w:t xml:space="preserve"> (EPPO)</w:t>
      </w:r>
      <w:r w:rsidR="008465B5">
        <w:rPr>
          <w:noProof/>
          <w:lang w:eastAsia="fr-FR"/>
        </w:rPr>
        <w:t xml:space="preserve"> and </w:t>
      </w:r>
      <w:r w:rsidR="008465B5" w:rsidRPr="2AEA5A40">
        <w:rPr>
          <w:noProof/>
          <w:lang w:eastAsia="fr-FR"/>
        </w:rPr>
        <w:t>the</w:t>
      </w:r>
      <w:r w:rsidR="008465B5">
        <w:rPr>
          <w:noProof/>
          <w:lang w:eastAsia="fr-FR"/>
        </w:rPr>
        <w:t xml:space="preserve"> </w:t>
      </w:r>
      <w:r w:rsidR="008465B5" w:rsidRPr="00C54309">
        <w:rPr>
          <w:noProof/>
          <w:lang w:eastAsia="fr-FR"/>
        </w:rPr>
        <w:t>Commission subsequently adopted a decision confirming Hungary’s participation</w:t>
      </w:r>
      <w:r w:rsidR="008465B5" w:rsidRPr="00C54309">
        <w:rPr>
          <w:rStyle w:val="FootnoteReference"/>
          <w:noProof/>
          <w:lang w:eastAsia="fr-FR"/>
        </w:rPr>
        <w:footnoteReference w:id="90"/>
      </w:r>
      <w:r w:rsidR="008465B5" w:rsidRPr="00C54309">
        <w:rPr>
          <w:noProof/>
          <w:lang w:eastAsia="fr-FR"/>
        </w:rPr>
        <w:t>.</w:t>
      </w:r>
      <w:r w:rsidR="003F304B">
        <w:rPr>
          <w:noProof/>
          <w:lang w:eastAsia="fr-FR"/>
        </w:rPr>
        <w:t xml:space="preserve"> </w:t>
      </w:r>
      <w:r w:rsidR="003F304B" w:rsidRPr="00C54309">
        <w:rPr>
          <w:noProof/>
        </w:rPr>
        <w:t xml:space="preserve">The positive changes recently initiated in the anti-corruption framework have not yet come into effect and therefore </w:t>
      </w:r>
      <w:r w:rsidR="003F304B" w:rsidRPr="00C54309">
        <w:rPr>
          <w:noProof/>
          <w:lang w:eastAsia="en-GB"/>
        </w:rPr>
        <w:t>no progress has yet been made on establishing a robust track record of investigations, prosecutions and final judgments for high-level corruption cases.</w:t>
      </w:r>
    </w:p>
    <w:p w14:paraId="477FD072" w14:textId="1D3DC4B3" w:rsidR="00FC0AF3" w:rsidRPr="006536D8" w:rsidRDefault="00FC0AF3" w:rsidP="00FC0AF3">
      <w:pPr>
        <w:rPr>
          <w:noProof/>
          <w:szCs w:val="24"/>
          <w:lang w:eastAsia="en-GB"/>
        </w:rPr>
      </w:pPr>
      <w:r w:rsidRPr="006536D8">
        <w:rPr>
          <w:b/>
          <w:bCs/>
          <w:noProof/>
          <w:szCs w:val="24"/>
          <w:lang w:eastAsia="en-GB"/>
        </w:rPr>
        <w:t xml:space="preserve">Legislative amendments have </w:t>
      </w:r>
      <w:r>
        <w:rPr>
          <w:b/>
          <w:bCs/>
          <w:noProof/>
          <w:szCs w:val="24"/>
          <w:lang w:eastAsia="en-GB"/>
        </w:rPr>
        <w:t>strengthened</w:t>
      </w:r>
      <w:r w:rsidRPr="006536D8">
        <w:rPr>
          <w:b/>
          <w:bCs/>
          <w:noProof/>
          <w:szCs w:val="24"/>
          <w:lang w:eastAsia="en-GB"/>
        </w:rPr>
        <w:t xml:space="preserve"> the framework for liability of legal persons</w:t>
      </w:r>
      <w:r>
        <w:rPr>
          <w:b/>
          <w:bCs/>
          <w:noProof/>
          <w:szCs w:val="24"/>
          <w:lang w:eastAsia="en-GB"/>
        </w:rPr>
        <w:t>,</w:t>
      </w:r>
      <w:r w:rsidRPr="006536D8">
        <w:rPr>
          <w:b/>
          <w:bCs/>
          <w:noProof/>
          <w:szCs w:val="24"/>
          <w:lang w:eastAsia="en-GB"/>
        </w:rPr>
        <w:t xml:space="preserve"> in line with international recommendations related to foreign bribery</w:t>
      </w:r>
      <w:r w:rsidRPr="006536D8">
        <w:rPr>
          <w:noProof/>
          <w:szCs w:val="24"/>
          <w:lang w:eastAsia="en-GB"/>
        </w:rPr>
        <w:t>. The amendments eliminate the regulatory gap between active bribery in the public and private sectors, strengthen corporate liability and introduce a new three-tiered time limit system for investigations</w:t>
      </w:r>
      <w:r w:rsidRPr="006536D8">
        <w:rPr>
          <w:rStyle w:val="FootnoteReference"/>
          <w:noProof/>
          <w:szCs w:val="24"/>
          <w:lang w:eastAsia="en-GB"/>
        </w:rPr>
        <w:footnoteReference w:id="91"/>
      </w:r>
      <w:r w:rsidRPr="006536D8">
        <w:rPr>
          <w:noProof/>
          <w:szCs w:val="24"/>
          <w:lang w:eastAsia="en-GB"/>
        </w:rPr>
        <w:t xml:space="preserve">. In </w:t>
      </w:r>
      <w:r>
        <w:rPr>
          <w:noProof/>
          <w:szCs w:val="24"/>
          <w:lang w:eastAsia="en-GB"/>
        </w:rPr>
        <w:t>December</w:t>
      </w:r>
      <w:r w:rsidRPr="006536D8">
        <w:rPr>
          <w:noProof/>
          <w:szCs w:val="24"/>
          <w:lang w:eastAsia="en-GB"/>
        </w:rPr>
        <w:t xml:space="preserve"> 2025, the </w:t>
      </w:r>
      <w:r>
        <w:rPr>
          <w:noProof/>
          <w:szCs w:val="24"/>
          <w:lang w:eastAsia="en-GB"/>
        </w:rPr>
        <w:t>former G</w:t>
      </w:r>
      <w:r w:rsidRPr="006536D8">
        <w:rPr>
          <w:noProof/>
          <w:szCs w:val="24"/>
          <w:lang w:eastAsia="en-GB"/>
        </w:rPr>
        <w:t xml:space="preserve">overnment introduced provisions requiring Hungarian companies </w:t>
      </w:r>
      <w:r>
        <w:rPr>
          <w:noProof/>
          <w:szCs w:val="24"/>
          <w:lang w:eastAsia="en-GB"/>
        </w:rPr>
        <w:t>that</w:t>
      </w:r>
      <w:r w:rsidRPr="006536D8">
        <w:rPr>
          <w:noProof/>
          <w:szCs w:val="24"/>
          <w:lang w:eastAsia="en-GB"/>
        </w:rPr>
        <w:t xml:space="preserve"> apply for non-refundable state aid for foreign investments to possess a verified anti-corruption strategy addressing specifically foreign bribery risks</w:t>
      </w:r>
      <w:r w:rsidRPr="006536D8">
        <w:rPr>
          <w:rStyle w:val="FootnoteReference"/>
          <w:noProof/>
          <w:szCs w:val="24"/>
          <w:lang w:eastAsia="en-GB"/>
        </w:rPr>
        <w:footnoteReference w:id="92"/>
      </w:r>
      <w:r w:rsidRPr="006536D8">
        <w:rPr>
          <w:noProof/>
          <w:szCs w:val="24"/>
          <w:lang w:eastAsia="en-GB"/>
        </w:rPr>
        <w:t>. Cooperation between the National Tax and Customs Administration and the Prosecutor General’s Office has been formalised through a new agreement to enhance information sharing and crime reporting</w:t>
      </w:r>
      <w:r w:rsidRPr="006536D8">
        <w:rPr>
          <w:rStyle w:val="FootnoteReference"/>
          <w:noProof/>
          <w:szCs w:val="24"/>
          <w:lang w:eastAsia="en-GB"/>
        </w:rPr>
        <w:footnoteReference w:id="93"/>
      </w:r>
      <w:r w:rsidRPr="006536D8">
        <w:rPr>
          <w:noProof/>
          <w:szCs w:val="24"/>
          <w:lang w:eastAsia="en-GB"/>
        </w:rPr>
        <w:t xml:space="preserve">. </w:t>
      </w:r>
      <w:r>
        <w:rPr>
          <w:noProof/>
          <w:szCs w:val="24"/>
          <w:lang w:eastAsia="en-GB"/>
        </w:rPr>
        <w:t>An</w:t>
      </w:r>
      <w:r w:rsidRPr="006536D8">
        <w:rPr>
          <w:noProof/>
          <w:szCs w:val="24"/>
          <w:lang w:eastAsia="en-GB"/>
        </w:rPr>
        <w:t xml:space="preserve"> international experience-sharing </w:t>
      </w:r>
      <w:r w:rsidR="007249E4">
        <w:rPr>
          <w:noProof/>
          <w:szCs w:val="24"/>
          <w:lang w:eastAsia="en-GB"/>
        </w:rPr>
        <w:t xml:space="preserve">training session </w:t>
      </w:r>
      <w:r w:rsidR="00086FCE">
        <w:rPr>
          <w:noProof/>
          <w:szCs w:val="24"/>
          <w:lang w:eastAsia="en-GB"/>
        </w:rPr>
        <w:t>on inter</w:t>
      </w:r>
      <w:r w:rsidR="00FD4805">
        <w:rPr>
          <w:noProof/>
          <w:szCs w:val="24"/>
          <w:lang w:eastAsia="en-GB"/>
        </w:rPr>
        <w:t xml:space="preserve">national corruption cases was held in January </w:t>
      </w:r>
      <w:r w:rsidR="00FF3403">
        <w:rPr>
          <w:noProof/>
          <w:szCs w:val="24"/>
          <w:lang w:eastAsia="en-GB"/>
        </w:rPr>
        <w:t>2026</w:t>
      </w:r>
      <w:r w:rsidRPr="006536D8">
        <w:rPr>
          <w:noProof/>
          <w:szCs w:val="24"/>
          <w:lang w:eastAsia="en-GB"/>
        </w:rPr>
        <w:t xml:space="preserve"> for prosecutors</w:t>
      </w:r>
      <w:r w:rsidRPr="006536D8">
        <w:rPr>
          <w:rStyle w:val="FootnoteReference"/>
          <w:noProof/>
          <w:szCs w:val="24"/>
          <w:lang w:eastAsia="en-GB"/>
        </w:rPr>
        <w:footnoteReference w:id="94"/>
      </w:r>
      <w:r w:rsidRPr="006536D8">
        <w:rPr>
          <w:noProof/>
          <w:szCs w:val="24"/>
          <w:lang w:eastAsia="en-GB"/>
        </w:rPr>
        <w:t xml:space="preserve">. </w:t>
      </w:r>
    </w:p>
    <w:p w14:paraId="27571044" w14:textId="4215DCE4" w:rsidR="00651FDF" w:rsidRPr="009A5E11" w:rsidRDefault="003D1CB3" w:rsidP="00FC0AF3">
      <w:pPr>
        <w:rPr>
          <w:noProof/>
          <w:szCs w:val="24"/>
          <w:lang w:eastAsia="en-GB"/>
        </w:rPr>
      </w:pPr>
      <w:r>
        <w:rPr>
          <w:b/>
          <w:bCs/>
          <w:noProof/>
          <w:szCs w:val="24"/>
          <w:lang w:eastAsia="en-GB"/>
        </w:rPr>
        <w:t>New legislation</w:t>
      </w:r>
      <w:r w:rsidR="00651FDF" w:rsidRPr="006536D8">
        <w:rPr>
          <w:b/>
          <w:bCs/>
          <w:noProof/>
          <w:szCs w:val="24"/>
          <w:lang w:eastAsia="en-GB"/>
        </w:rPr>
        <w:t xml:space="preserve"> </w:t>
      </w:r>
      <w:r w:rsidR="000D6BB6">
        <w:rPr>
          <w:b/>
          <w:bCs/>
          <w:noProof/>
          <w:szCs w:val="24"/>
          <w:lang w:eastAsia="en-GB"/>
        </w:rPr>
        <w:t>ai</w:t>
      </w:r>
      <w:r w:rsidR="00851A15">
        <w:rPr>
          <w:b/>
          <w:bCs/>
          <w:noProof/>
          <w:szCs w:val="24"/>
          <w:lang w:eastAsia="en-GB"/>
        </w:rPr>
        <w:t xml:space="preserve">ms to </w:t>
      </w:r>
      <w:r w:rsidR="00651FDF" w:rsidRPr="006536D8">
        <w:rPr>
          <w:b/>
          <w:bCs/>
          <w:noProof/>
          <w:szCs w:val="24"/>
          <w:lang w:eastAsia="en-GB"/>
        </w:rPr>
        <w:t>improve the system of asset declarations, providing for effective oversight and enforcement</w:t>
      </w:r>
      <w:r w:rsidR="00651FDF">
        <w:rPr>
          <w:rStyle w:val="FootnoteReference"/>
          <w:b/>
          <w:bCs/>
          <w:noProof/>
          <w:szCs w:val="24"/>
          <w:lang w:eastAsia="en-GB"/>
        </w:rPr>
        <w:footnoteReference w:id="95"/>
      </w:r>
      <w:r w:rsidR="00651FDF">
        <w:rPr>
          <w:b/>
          <w:bCs/>
          <w:noProof/>
          <w:szCs w:val="24"/>
          <w:lang w:eastAsia="en-GB"/>
        </w:rPr>
        <w:t xml:space="preserve">. </w:t>
      </w:r>
      <w:r w:rsidR="00651FDF" w:rsidRPr="00830551">
        <w:rPr>
          <w:noProof/>
          <w:szCs w:val="24"/>
          <w:lang w:eastAsia="en-GB"/>
        </w:rPr>
        <w:t xml:space="preserve">The omnibus law </w:t>
      </w:r>
      <w:r w:rsidR="009A5E11" w:rsidRPr="00830551">
        <w:rPr>
          <w:noProof/>
          <w:szCs w:val="24"/>
          <w:lang w:eastAsia="en-GB"/>
        </w:rPr>
        <w:t>of</w:t>
      </w:r>
      <w:r w:rsidR="00651FDF" w:rsidRPr="00830551">
        <w:rPr>
          <w:noProof/>
          <w:szCs w:val="24"/>
          <w:lang w:eastAsia="en-GB"/>
        </w:rPr>
        <w:t xml:space="preserve"> June 2026 establishes a comprehensive system of asset declarations applicable to a broad range of public officials</w:t>
      </w:r>
      <w:r w:rsidR="00272321" w:rsidRPr="00830551">
        <w:rPr>
          <w:noProof/>
          <w:szCs w:val="24"/>
          <w:lang w:eastAsia="en-GB"/>
        </w:rPr>
        <w:t xml:space="preserve"> and their relatives</w:t>
      </w:r>
      <w:r w:rsidR="00651FDF" w:rsidRPr="00830551">
        <w:rPr>
          <w:noProof/>
          <w:szCs w:val="24"/>
          <w:lang w:eastAsia="en-GB"/>
        </w:rPr>
        <w:t>, including senior political executives and high-risk officials</w:t>
      </w:r>
      <w:r w:rsidR="00880E75" w:rsidRPr="00830551">
        <w:rPr>
          <w:noProof/>
          <w:szCs w:val="24"/>
          <w:lang w:eastAsia="en-GB"/>
        </w:rPr>
        <w:t xml:space="preserve"> such as </w:t>
      </w:r>
      <w:r w:rsidR="00044755">
        <w:rPr>
          <w:noProof/>
          <w:szCs w:val="24"/>
          <w:lang w:eastAsia="en-GB"/>
        </w:rPr>
        <w:t>m</w:t>
      </w:r>
      <w:r w:rsidR="003C5917" w:rsidRPr="00830551">
        <w:rPr>
          <w:noProof/>
          <w:szCs w:val="24"/>
          <w:lang w:eastAsia="en-GB"/>
        </w:rPr>
        <w:t xml:space="preserve">embers of </w:t>
      </w:r>
      <w:r w:rsidR="00715F57" w:rsidRPr="00830551">
        <w:rPr>
          <w:noProof/>
          <w:szCs w:val="24"/>
          <w:lang w:eastAsia="en-GB"/>
        </w:rPr>
        <w:t>Parliament</w:t>
      </w:r>
      <w:r w:rsidR="003C5917" w:rsidRPr="00830551">
        <w:rPr>
          <w:noProof/>
          <w:szCs w:val="24"/>
          <w:lang w:eastAsia="en-GB"/>
        </w:rPr>
        <w:t xml:space="preserve">, </w:t>
      </w:r>
      <w:r w:rsidR="003600D3" w:rsidRPr="00830551">
        <w:rPr>
          <w:noProof/>
          <w:szCs w:val="24"/>
          <w:lang w:eastAsia="en-GB"/>
        </w:rPr>
        <w:t>the President</w:t>
      </w:r>
      <w:r w:rsidR="00156C64" w:rsidRPr="00830551">
        <w:rPr>
          <w:noProof/>
          <w:szCs w:val="24"/>
          <w:lang w:eastAsia="en-GB"/>
        </w:rPr>
        <w:t xml:space="preserve"> of the Republic</w:t>
      </w:r>
      <w:r w:rsidR="003600D3" w:rsidRPr="00830551">
        <w:rPr>
          <w:noProof/>
          <w:szCs w:val="24"/>
          <w:lang w:eastAsia="en-GB"/>
        </w:rPr>
        <w:t>,</w:t>
      </w:r>
      <w:r w:rsidR="00444624" w:rsidRPr="00830551">
        <w:rPr>
          <w:noProof/>
          <w:szCs w:val="24"/>
          <w:lang w:eastAsia="en-GB"/>
        </w:rPr>
        <w:t xml:space="preserve"> </w:t>
      </w:r>
      <w:r w:rsidR="004E02E7" w:rsidRPr="00830551">
        <w:rPr>
          <w:noProof/>
          <w:szCs w:val="24"/>
          <w:lang w:eastAsia="en-GB"/>
        </w:rPr>
        <w:t xml:space="preserve">heads of key regulatory authorities, </w:t>
      </w:r>
      <w:r w:rsidR="0053484C" w:rsidRPr="00830551">
        <w:rPr>
          <w:noProof/>
          <w:szCs w:val="24"/>
          <w:lang w:eastAsia="en-GB"/>
        </w:rPr>
        <w:t xml:space="preserve">local government </w:t>
      </w:r>
      <w:r w:rsidR="0053484C" w:rsidRPr="002F5B6A">
        <w:rPr>
          <w:noProof/>
          <w:szCs w:val="24"/>
          <w:lang w:eastAsia="en-GB"/>
        </w:rPr>
        <w:t xml:space="preserve">representatives, </w:t>
      </w:r>
      <w:r w:rsidR="006B1726" w:rsidRPr="002F5B6A">
        <w:rPr>
          <w:noProof/>
          <w:szCs w:val="24"/>
          <w:lang w:eastAsia="en-GB"/>
        </w:rPr>
        <w:t xml:space="preserve">judges, prosecutors, </w:t>
      </w:r>
      <w:r w:rsidR="00012C52" w:rsidRPr="002F5B6A">
        <w:rPr>
          <w:noProof/>
          <w:szCs w:val="24"/>
          <w:lang w:eastAsia="en-GB"/>
        </w:rPr>
        <w:t xml:space="preserve">as well as </w:t>
      </w:r>
      <w:r w:rsidR="005D0B9B" w:rsidRPr="002F5B6A">
        <w:rPr>
          <w:noProof/>
          <w:szCs w:val="24"/>
          <w:lang w:eastAsia="en-GB"/>
        </w:rPr>
        <w:t xml:space="preserve">other high-ranking </w:t>
      </w:r>
      <w:r w:rsidR="00A40485" w:rsidRPr="002F5B6A">
        <w:rPr>
          <w:noProof/>
          <w:szCs w:val="24"/>
          <w:lang w:eastAsia="en-GB"/>
        </w:rPr>
        <w:t>civil servants</w:t>
      </w:r>
      <w:r w:rsidR="00651FDF" w:rsidRPr="002F5B6A">
        <w:rPr>
          <w:noProof/>
          <w:szCs w:val="24"/>
          <w:lang w:eastAsia="en-GB"/>
        </w:rPr>
        <w:t xml:space="preserve">. </w:t>
      </w:r>
      <w:r w:rsidR="00EC30FD" w:rsidRPr="002F5B6A">
        <w:rPr>
          <w:noProof/>
          <w:szCs w:val="24"/>
          <w:lang w:eastAsia="en-GB"/>
        </w:rPr>
        <w:t xml:space="preserve">The scope of </w:t>
      </w:r>
      <w:r w:rsidR="006E069A" w:rsidRPr="002F5B6A">
        <w:rPr>
          <w:noProof/>
          <w:szCs w:val="24"/>
          <w:lang w:eastAsia="en-GB"/>
        </w:rPr>
        <w:t>assets to be</w:t>
      </w:r>
      <w:r w:rsidR="00353C4A" w:rsidRPr="002F5B6A">
        <w:rPr>
          <w:noProof/>
          <w:szCs w:val="24"/>
          <w:lang w:eastAsia="en-GB"/>
        </w:rPr>
        <w:t xml:space="preserve"> declared </w:t>
      </w:r>
      <w:r w:rsidR="00E203D5" w:rsidRPr="002F5B6A">
        <w:rPr>
          <w:noProof/>
          <w:szCs w:val="24"/>
          <w:lang w:eastAsia="en-GB"/>
        </w:rPr>
        <w:t>no</w:t>
      </w:r>
      <w:r w:rsidR="0061528E">
        <w:rPr>
          <w:noProof/>
          <w:szCs w:val="24"/>
          <w:lang w:eastAsia="en-GB"/>
        </w:rPr>
        <w:t>w in</w:t>
      </w:r>
      <w:r w:rsidR="00E203D5" w:rsidRPr="002F5B6A">
        <w:rPr>
          <w:noProof/>
          <w:szCs w:val="24"/>
          <w:lang w:eastAsia="en-GB"/>
        </w:rPr>
        <w:t xml:space="preserve">cludes </w:t>
      </w:r>
      <w:r w:rsidR="0061528E">
        <w:rPr>
          <w:noProof/>
          <w:szCs w:val="24"/>
          <w:lang w:eastAsia="en-GB"/>
        </w:rPr>
        <w:t>the</w:t>
      </w:r>
      <w:r w:rsidR="00353C4A" w:rsidRPr="002F5B6A">
        <w:rPr>
          <w:noProof/>
          <w:szCs w:val="24"/>
          <w:lang w:eastAsia="en-GB"/>
        </w:rPr>
        <w:t xml:space="preserve"> </w:t>
      </w:r>
      <w:r w:rsidR="00663DDA" w:rsidRPr="002F5B6A">
        <w:rPr>
          <w:noProof/>
          <w:szCs w:val="24"/>
          <w:lang w:eastAsia="en-GB"/>
        </w:rPr>
        <w:t xml:space="preserve">declarant’s </w:t>
      </w:r>
      <w:r w:rsidR="00353C4A" w:rsidRPr="002F5B6A">
        <w:rPr>
          <w:noProof/>
          <w:szCs w:val="24"/>
          <w:lang w:eastAsia="en-GB"/>
        </w:rPr>
        <w:t xml:space="preserve">primary residence. </w:t>
      </w:r>
      <w:r w:rsidR="004C5C7B" w:rsidRPr="002F5B6A">
        <w:rPr>
          <w:noProof/>
          <w:szCs w:val="24"/>
          <w:lang w:eastAsia="en-GB"/>
        </w:rPr>
        <w:t>Furthermore,</w:t>
      </w:r>
      <w:r w:rsidR="006A1B26" w:rsidRPr="002F5B6A">
        <w:rPr>
          <w:noProof/>
          <w:szCs w:val="24"/>
          <w:lang w:eastAsia="en-GB"/>
        </w:rPr>
        <w:t xml:space="preserve"> </w:t>
      </w:r>
      <w:r w:rsidR="009D7493" w:rsidRPr="002F5B6A">
        <w:rPr>
          <w:noProof/>
          <w:szCs w:val="24"/>
          <w:lang w:eastAsia="en-GB"/>
        </w:rPr>
        <w:t xml:space="preserve">the </w:t>
      </w:r>
      <w:r w:rsidR="004C5C7B" w:rsidRPr="002F5B6A">
        <w:rPr>
          <w:noProof/>
          <w:szCs w:val="24"/>
          <w:lang w:eastAsia="en-GB"/>
        </w:rPr>
        <w:t>a</w:t>
      </w:r>
      <w:r w:rsidR="006A1B26" w:rsidRPr="002F5B6A">
        <w:rPr>
          <w:noProof/>
          <w:szCs w:val="24"/>
          <w:lang w:eastAsia="en-GB"/>
        </w:rPr>
        <w:t>sset</w:t>
      </w:r>
      <w:r w:rsidR="00CD5F68" w:rsidRPr="002F5B6A">
        <w:rPr>
          <w:noProof/>
          <w:szCs w:val="24"/>
          <w:lang w:eastAsia="en-GB"/>
        </w:rPr>
        <w:t xml:space="preserve"> </w:t>
      </w:r>
      <w:r w:rsidR="006A1B26" w:rsidRPr="002F5B6A">
        <w:rPr>
          <w:noProof/>
          <w:szCs w:val="24"/>
          <w:lang w:eastAsia="en-GB"/>
        </w:rPr>
        <w:t xml:space="preserve">declarations </w:t>
      </w:r>
      <w:r w:rsidR="00801C8F" w:rsidRPr="002F5B6A">
        <w:rPr>
          <w:noProof/>
          <w:szCs w:val="24"/>
          <w:lang w:eastAsia="en-GB"/>
        </w:rPr>
        <w:t xml:space="preserve">of </w:t>
      </w:r>
      <w:r w:rsidR="00044755">
        <w:rPr>
          <w:noProof/>
          <w:szCs w:val="24"/>
          <w:lang w:eastAsia="en-GB"/>
        </w:rPr>
        <w:t>m</w:t>
      </w:r>
      <w:r w:rsidR="00801C8F" w:rsidRPr="002F5B6A">
        <w:rPr>
          <w:noProof/>
          <w:szCs w:val="24"/>
          <w:lang w:eastAsia="en-GB"/>
        </w:rPr>
        <w:t xml:space="preserve">embers of </w:t>
      </w:r>
      <w:r w:rsidR="00156C64" w:rsidRPr="002F5B6A">
        <w:rPr>
          <w:noProof/>
          <w:szCs w:val="24"/>
          <w:lang w:eastAsia="en-GB"/>
        </w:rPr>
        <w:t>Parliament</w:t>
      </w:r>
      <w:r w:rsidR="00801C8F" w:rsidRPr="002F5B6A">
        <w:rPr>
          <w:noProof/>
          <w:szCs w:val="24"/>
          <w:lang w:eastAsia="en-GB"/>
        </w:rPr>
        <w:t xml:space="preserve"> and senior political executives </w:t>
      </w:r>
      <w:r w:rsidR="004C5C7B" w:rsidRPr="002F5B6A">
        <w:rPr>
          <w:noProof/>
          <w:szCs w:val="24"/>
          <w:lang w:eastAsia="en-GB"/>
        </w:rPr>
        <w:t>must</w:t>
      </w:r>
      <w:r w:rsidR="004207AA" w:rsidRPr="002F5B6A">
        <w:rPr>
          <w:noProof/>
          <w:szCs w:val="24"/>
          <w:lang w:eastAsia="en-GB"/>
        </w:rPr>
        <w:t xml:space="preserve"> </w:t>
      </w:r>
      <w:r w:rsidR="006A1B26" w:rsidRPr="002F5B6A">
        <w:rPr>
          <w:noProof/>
          <w:szCs w:val="24"/>
          <w:lang w:eastAsia="en-GB"/>
        </w:rPr>
        <w:t>be</w:t>
      </w:r>
      <w:r w:rsidR="004C6DB5">
        <w:rPr>
          <w:noProof/>
          <w:szCs w:val="24"/>
          <w:lang w:eastAsia="en-GB"/>
        </w:rPr>
        <w:t xml:space="preserve"> </w:t>
      </w:r>
      <w:r w:rsidR="006A1B26" w:rsidRPr="002F5B6A">
        <w:rPr>
          <w:noProof/>
          <w:szCs w:val="24"/>
          <w:lang w:eastAsia="en-GB"/>
        </w:rPr>
        <w:t>submitted</w:t>
      </w:r>
      <w:r w:rsidR="00FC20B1" w:rsidRPr="002F5B6A">
        <w:rPr>
          <w:noProof/>
          <w:szCs w:val="24"/>
          <w:lang w:eastAsia="en-GB"/>
        </w:rPr>
        <w:t xml:space="preserve"> </w:t>
      </w:r>
      <w:r w:rsidR="006A1B26" w:rsidRPr="002F5B6A">
        <w:rPr>
          <w:noProof/>
          <w:szCs w:val="24"/>
          <w:lang w:eastAsia="en-GB"/>
        </w:rPr>
        <w:t>in</w:t>
      </w:r>
      <w:r w:rsidR="00CD5F68" w:rsidRPr="002F5B6A">
        <w:rPr>
          <w:noProof/>
          <w:szCs w:val="24"/>
          <w:lang w:eastAsia="en-GB"/>
        </w:rPr>
        <w:t xml:space="preserve"> </w:t>
      </w:r>
      <w:r w:rsidR="006A1B26" w:rsidRPr="002F5B6A">
        <w:rPr>
          <w:noProof/>
          <w:szCs w:val="24"/>
          <w:lang w:eastAsia="en-GB"/>
        </w:rPr>
        <w:t>electronic</w:t>
      </w:r>
      <w:r w:rsidR="008921C5" w:rsidRPr="002F5B6A">
        <w:rPr>
          <w:noProof/>
          <w:szCs w:val="24"/>
          <w:lang w:eastAsia="en-GB"/>
        </w:rPr>
        <w:t xml:space="preserve"> </w:t>
      </w:r>
      <w:r w:rsidR="006A1B26" w:rsidRPr="002F5B6A">
        <w:rPr>
          <w:noProof/>
          <w:szCs w:val="24"/>
          <w:lang w:eastAsia="en-GB"/>
        </w:rPr>
        <w:t>format</w:t>
      </w:r>
      <w:r w:rsidR="00AE3BDC" w:rsidRPr="002F5B6A">
        <w:rPr>
          <w:noProof/>
          <w:szCs w:val="24"/>
          <w:lang w:eastAsia="en-GB"/>
        </w:rPr>
        <w:t xml:space="preserve"> </w:t>
      </w:r>
      <w:r w:rsidR="00CF38AB" w:rsidRPr="002F5B6A">
        <w:rPr>
          <w:noProof/>
          <w:szCs w:val="24"/>
          <w:lang w:eastAsia="en-GB"/>
        </w:rPr>
        <w:t>and stored in</w:t>
      </w:r>
      <w:r w:rsidR="00061A4B" w:rsidRPr="002F5B6A">
        <w:rPr>
          <w:noProof/>
          <w:szCs w:val="24"/>
          <w:lang w:eastAsia="en-GB"/>
        </w:rPr>
        <w:t xml:space="preserve"> </w:t>
      </w:r>
      <w:r w:rsidR="004207AA" w:rsidRPr="002F5B6A">
        <w:rPr>
          <w:noProof/>
          <w:szCs w:val="24"/>
          <w:lang w:eastAsia="en-GB"/>
        </w:rPr>
        <w:t>a digital regist</w:t>
      </w:r>
      <w:r w:rsidR="00073230">
        <w:rPr>
          <w:noProof/>
          <w:szCs w:val="24"/>
          <w:lang w:eastAsia="en-GB"/>
        </w:rPr>
        <w:t>e</w:t>
      </w:r>
      <w:r w:rsidR="004207AA" w:rsidRPr="002F5B6A">
        <w:rPr>
          <w:noProof/>
          <w:szCs w:val="24"/>
          <w:lang w:eastAsia="en-GB"/>
        </w:rPr>
        <w:t xml:space="preserve">r </w:t>
      </w:r>
      <w:r w:rsidR="00C35907" w:rsidRPr="002F5B6A">
        <w:rPr>
          <w:noProof/>
          <w:szCs w:val="24"/>
          <w:lang w:eastAsia="en-GB"/>
        </w:rPr>
        <w:t xml:space="preserve">maintained by the </w:t>
      </w:r>
      <w:r w:rsidR="00073230">
        <w:rPr>
          <w:noProof/>
          <w:szCs w:val="24"/>
          <w:lang w:eastAsia="en-GB"/>
        </w:rPr>
        <w:t xml:space="preserve">National </w:t>
      </w:r>
      <w:r w:rsidR="00C35907" w:rsidRPr="002F5B6A">
        <w:rPr>
          <w:noProof/>
          <w:szCs w:val="24"/>
          <w:lang w:eastAsia="en-GB"/>
        </w:rPr>
        <w:t>Assembly</w:t>
      </w:r>
      <w:r w:rsidR="000B06D3" w:rsidRPr="002F5B6A">
        <w:rPr>
          <w:noProof/>
          <w:szCs w:val="24"/>
          <w:lang w:eastAsia="en-GB"/>
        </w:rPr>
        <w:t xml:space="preserve">. </w:t>
      </w:r>
      <w:r w:rsidR="009418B5" w:rsidRPr="002F5B6A">
        <w:rPr>
          <w:noProof/>
          <w:szCs w:val="24"/>
          <w:lang w:eastAsia="en-GB"/>
        </w:rPr>
        <w:t xml:space="preserve">They are to be made public on the website of the </w:t>
      </w:r>
      <w:r w:rsidR="00444558">
        <w:rPr>
          <w:noProof/>
          <w:szCs w:val="24"/>
          <w:lang w:eastAsia="en-GB"/>
        </w:rPr>
        <w:t xml:space="preserve">National </w:t>
      </w:r>
      <w:r w:rsidR="009418B5" w:rsidRPr="002F5B6A">
        <w:rPr>
          <w:noProof/>
          <w:szCs w:val="24"/>
          <w:lang w:eastAsia="en-GB"/>
        </w:rPr>
        <w:t xml:space="preserve">Assembly. </w:t>
      </w:r>
      <w:r w:rsidR="00094E21" w:rsidRPr="002F5B6A">
        <w:rPr>
          <w:noProof/>
          <w:szCs w:val="24"/>
          <w:lang w:eastAsia="en-GB"/>
        </w:rPr>
        <w:t xml:space="preserve">The </w:t>
      </w:r>
      <w:r w:rsidR="00444558">
        <w:rPr>
          <w:noProof/>
          <w:szCs w:val="24"/>
          <w:lang w:eastAsia="en-GB"/>
        </w:rPr>
        <w:t>IA</w:t>
      </w:r>
      <w:r w:rsidR="00094E21" w:rsidRPr="002F5B6A">
        <w:rPr>
          <w:noProof/>
          <w:szCs w:val="24"/>
          <w:lang w:eastAsia="en-GB"/>
        </w:rPr>
        <w:t xml:space="preserve"> is granted exclusive powers </w:t>
      </w:r>
      <w:r w:rsidR="00A32AD5" w:rsidRPr="002F5B6A">
        <w:rPr>
          <w:noProof/>
          <w:szCs w:val="24"/>
          <w:lang w:eastAsia="en-GB"/>
        </w:rPr>
        <w:t>for</w:t>
      </w:r>
      <w:r w:rsidR="00094E21" w:rsidRPr="002F5B6A">
        <w:rPr>
          <w:noProof/>
          <w:szCs w:val="24"/>
          <w:lang w:eastAsia="en-GB"/>
        </w:rPr>
        <w:t xml:space="preserve"> the verification of asset declarations of </w:t>
      </w:r>
      <w:r w:rsidR="002B4B08" w:rsidRPr="002F5B6A">
        <w:rPr>
          <w:noProof/>
          <w:szCs w:val="24"/>
          <w:lang w:eastAsia="en-GB"/>
        </w:rPr>
        <w:t>senior political executives</w:t>
      </w:r>
      <w:r w:rsidR="009B2ABB" w:rsidRPr="002F5B6A">
        <w:rPr>
          <w:noProof/>
          <w:szCs w:val="24"/>
          <w:lang w:eastAsia="en-GB"/>
        </w:rPr>
        <w:t xml:space="preserve">, whereas </w:t>
      </w:r>
      <w:r w:rsidR="00887AF5" w:rsidRPr="002F5B6A">
        <w:rPr>
          <w:noProof/>
          <w:szCs w:val="24"/>
          <w:lang w:eastAsia="en-GB"/>
        </w:rPr>
        <w:t>for othe</w:t>
      </w:r>
      <w:r w:rsidR="00ED0A68" w:rsidRPr="002F5B6A">
        <w:rPr>
          <w:noProof/>
          <w:szCs w:val="24"/>
          <w:lang w:eastAsia="en-GB"/>
        </w:rPr>
        <w:t xml:space="preserve">r categories of </w:t>
      </w:r>
      <w:r w:rsidR="00444558">
        <w:rPr>
          <w:noProof/>
          <w:szCs w:val="24"/>
          <w:lang w:eastAsia="en-GB"/>
        </w:rPr>
        <w:t xml:space="preserve">public </w:t>
      </w:r>
      <w:r w:rsidR="00ED0A68" w:rsidRPr="002F5B6A">
        <w:rPr>
          <w:noProof/>
          <w:szCs w:val="24"/>
          <w:lang w:eastAsia="en-GB"/>
        </w:rPr>
        <w:t xml:space="preserve">officials </w:t>
      </w:r>
      <w:r w:rsidR="00887AF5" w:rsidRPr="002F5B6A">
        <w:rPr>
          <w:noProof/>
          <w:szCs w:val="24"/>
          <w:lang w:eastAsia="en-GB"/>
        </w:rPr>
        <w:t xml:space="preserve">its </w:t>
      </w:r>
      <w:r w:rsidR="00245A71" w:rsidRPr="002F5B6A">
        <w:rPr>
          <w:noProof/>
          <w:szCs w:val="24"/>
          <w:lang w:eastAsia="en-GB"/>
        </w:rPr>
        <w:t xml:space="preserve">powers are shared </w:t>
      </w:r>
      <w:r w:rsidR="009678B6" w:rsidRPr="002F5B6A">
        <w:rPr>
          <w:noProof/>
          <w:szCs w:val="24"/>
          <w:lang w:eastAsia="en-GB"/>
        </w:rPr>
        <w:t xml:space="preserve">with </w:t>
      </w:r>
      <w:r w:rsidR="00693DCB" w:rsidRPr="002F5B6A">
        <w:rPr>
          <w:noProof/>
          <w:szCs w:val="24"/>
          <w:lang w:eastAsia="en-GB"/>
        </w:rPr>
        <w:t>other</w:t>
      </w:r>
      <w:r w:rsidR="00994061" w:rsidRPr="002F5B6A">
        <w:rPr>
          <w:noProof/>
          <w:szCs w:val="24"/>
          <w:lang w:eastAsia="en-GB"/>
        </w:rPr>
        <w:t xml:space="preserve"> competent</w:t>
      </w:r>
      <w:r w:rsidR="00EB719A" w:rsidRPr="002F5B6A">
        <w:rPr>
          <w:noProof/>
          <w:szCs w:val="24"/>
          <w:lang w:eastAsia="en-GB"/>
        </w:rPr>
        <w:t xml:space="preserve"> bodies</w:t>
      </w:r>
      <w:r w:rsidR="002B4B08" w:rsidRPr="002F5B6A">
        <w:rPr>
          <w:rStyle w:val="FootnoteReference"/>
          <w:noProof/>
          <w:szCs w:val="24"/>
          <w:lang w:eastAsia="en-GB"/>
        </w:rPr>
        <w:footnoteReference w:id="96"/>
      </w:r>
      <w:r w:rsidR="002B4B08" w:rsidRPr="002F5B6A">
        <w:rPr>
          <w:noProof/>
          <w:szCs w:val="24"/>
          <w:lang w:eastAsia="en-GB"/>
        </w:rPr>
        <w:t>.</w:t>
      </w:r>
      <w:r w:rsidR="00651FDF" w:rsidRPr="002F5B6A">
        <w:rPr>
          <w:noProof/>
          <w:szCs w:val="24"/>
          <w:lang w:eastAsia="en-GB"/>
        </w:rPr>
        <w:t xml:space="preserve"> </w:t>
      </w:r>
      <w:r w:rsidR="00192109" w:rsidRPr="002F5B6A">
        <w:rPr>
          <w:noProof/>
          <w:szCs w:val="24"/>
          <w:lang w:eastAsia="en-GB"/>
        </w:rPr>
        <w:t>The law also set</w:t>
      </w:r>
      <w:r w:rsidR="006F76E1" w:rsidRPr="002F5B6A">
        <w:rPr>
          <w:noProof/>
          <w:szCs w:val="24"/>
          <w:lang w:eastAsia="en-GB"/>
        </w:rPr>
        <w:t>s</w:t>
      </w:r>
      <w:r w:rsidR="00192109" w:rsidRPr="002F5B6A">
        <w:rPr>
          <w:noProof/>
          <w:szCs w:val="24"/>
          <w:lang w:eastAsia="en-GB"/>
        </w:rPr>
        <w:t xml:space="preserve"> out a </w:t>
      </w:r>
      <w:r w:rsidR="002716C6" w:rsidRPr="002F5B6A">
        <w:rPr>
          <w:noProof/>
          <w:szCs w:val="24"/>
          <w:lang w:eastAsia="en-GB"/>
        </w:rPr>
        <w:t xml:space="preserve">system of </w:t>
      </w:r>
      <w:r w:rsidR="00B82978" w:rsidRPr="002F5B6A">
        <w:rPr>
          <w:noProof/>
          <w:szCs w:val="24"/>
          <w:lang w:eastAsia="en-GB"/>
        </w:rPr>
        <w:t>administrative and criminal sanctions for different types of violations of asset de</w:t>
      </w:r>
      <w:r w:rsidR="00105371" w:rsidRPr="002F5B6A">
        <w:rPr>
          <w:noProof/>
          <w:szCs w:val="24"/>
          <w:lang w:eastAsia="en-GB"/>
        </w:rPr>
        <w:t>claration obligations</w:t>
      </w:r>
      <w:r w:rsidR="00E1788E" w:rsidRPr="002F5B6A">
        <w:rPr>
          <w:noProof/>
          <w:szCs w:val="24"/>
          <w:lang w:eastAsia="en-GB"/>
        </w:rPr>
        <w:t>,</w:t>
      </w:r>
      <w:r w:rsidR="0049220D" w:rsidRPr="002F5B6A">
        <w:rPr>
          <w:noProof/>
          <w:szCs w:val="24"/>
          <w:lang w:eastAsia="en-GB"/>
        </w:rPr>
        <w:t xml:space="preserve"> </w:t>
      </w:r>
      <w:r w:rsidR="00E1788E" w:rsidRPr="002F5B6A">
        <w:rPr>
          <w:noProof/>
          <w:szCs w:val="24"/>
          <w:lang w:eastAsia="en-GB"/>
        </w:rPr>
        <w:t>including failure to sub</w:t>
      </w:r>
      <w:r w:rsidR="00F315C8" w:rsidRPr="002F5B6A">
        <w:rPr>
          <w:noProof/>
          <w:szCs w:val="24"/>
          <w:lang w:eastAsia="en-GB"/>
        </w:rPr>
        <w:t xml:space="preserve">mit an asset declaration </w:t>
      </w:r>
      <w:r w:rsidR="00AE662E" w:rsidRPr="002F5B6A">
        <w:rPr>
          <w:noProof/>
          <w:szCs w:val="24"/>
          <w:lang w:eastAsia="en-GB"/>
        </w:rPr>
        <w:t xml:space="preserve">or intentionally </w:t>
      </w:r>
      <w:r w:rsidR="006A6E40" w:rsidRPr="002F5B6A">
        <w:rPr>
          <w:noProof/>
          <w:szCs w:val="24"/>
          <w:lang w:eastAsia="en-GB"/>
        </w:rPr>
        <w:t>providing false data</w:t>
      </w:r>
      <w:r w:rsidR="00105371" w:rsidRPr="002F5B6A">
        <w:rPr>
          <w:noProof/>
          <w:szCs w:val="24"/>
          <w:lang w:eastAsia="en-GB"/>
        </w:rPr>
        <w:t>.</w:t>
      </w:r>
      <w:r w:rsidR="001D588C" w:rsidRPr="002F5B6A">
        <w:rPr>
          <w:noProof/>
          <w:szCs w:val="24"/>
          <w:lang w:eastAsia="en-GB"/>
        </w:rPr>
        <w:t xml:space="preserve"> </w:t>
      </w:r>
      <w:r w:rsidR="00B25A95" w:rsidRPr="002F5B6A">
        <w:rPr>
          <w:noProof/>
          <w:szCs w:val="24"/>
          <w:lang w:eastAsia="en-GB"/>
        </w:rPr>
        <w:t>Administrative s</w:t>
      </w:r>
      <w:r w:rsidR="001D588C" w:rsidRPr="002F5B6A">
        <w:rPr>
          <w:noProof/>
          <w:szCs w:val="24"/>
          <w:lang w:eastAsia="en-GB"/>
        </w:rPr>
        <w:t>anctions</w:t>
      </w:r>
      <w:r w:rsidR="00D92448" w:rsidRPr="002F5B6A">
        <w:rPr>
          <w:noProof/>
          <w:szCs w:val="24"/>
          <w:lang w:eastAsia="en-GB"/>
        </w:rPr>
        <w:t xml:space="preserve"> proportionate to the gravity of the </w:t>
      </w:r>
      <w:r w:rsidR="0075688E" w:rsidRPr="002F5B6A">
        <w:rPr>
          <w:noProof/>
          <w:szCs w:val="24"/>
          <w:lang w:eastAsia="en-GB"/>
        </w:rPr>
        <w:t>violation</w:t>
      </w:r>
      <w:r w:rsidR="00B25A95" w:rsidRPr="002F5B6A">
        <w:rPr>
          <w:noProof/>
          <w:szCs w:val="24"/>
          <w:lang w:eastAsia="en-GB"/>
        </w:rPr>
        <w:t xml:space="preserve">, including </w:t>
      </w:r>
      <w:r w:rsidR="0076565D" w:rsidRPr="002F5B6A">
        <w:rPr>
          <w:noProof/>
          <w:szCs w:val="24"/>
          <w:lang w:eastAsia="en-GB"/>
        </w:rPr>
        <w:t>a fine or dismissal,</w:t>
      </w:r>
      <w:r w:rsidR="001D588C" w:rsidRPr="002F5B6A">
        <w:rPr>
          <w:noProof/>
          <w:szCs w:val="24"/>
          <w:lang w:eastAsia="en-GB"/>
        </w:rPr>
        <w:t xml:space="preserve"> may be imposed by the </w:t>
      </w:r>
      <w:r w:rsidR="00465A10">
        <w:rPr>
          <w:noProof/>
          <w:szCs w:val="24"/>
          <w:lang w:eastAsia="en-GB"/>
        </w:rPr>
        <w:t>IA</w:t>
      </w:r>
      <w:r w:rsidR="001D588C" w:rsidRPr="002F5B6A">
        <w:rPr>
          <w:noProof/>
          <w:szCs w:val="24"/>
          <w:lang w:eastAsia="en-GB"/>
        </w:rPr>
        <w:t xml:space="preserve"> </w:t>
      </w:r>
      <w:r w:rsidR="00B56549" w:rsidRPr="002F5B6A">
        <w:rPr>
          <w:noProof/>
          <w:szCs w:val="24"/>
          <w:lang w:eastAsia="en-GB"/>
        </w:rPr>
        <w:t xml:space="preserve">or by other </w:t>
      </w:r>
      <w:r w:rsidR="00FF5860" w:rsidRPr="002F5B6A">
        <w:rPr>
          <w:noProof/>
          <w:szCs w:val="24"/>
          <w:lang w:eastAsia="en-GB"/>
        </w:rPr>
        <w:t xml:space="preserve">competent </w:t>
      </w:r>
      <w:r w:rsidR="00B56549" w:rsidRPr="002F5B6A">
        <w:rPr>
          <w:noProof/>
          <w:szCs w:val="24"/>
          <w:lang w:eastAsia="en-GB"/>
        </w:rPr>
        <w:t xml:space="preserve">bodies, depending on the </w:t>
      </w:r>
      <w:r w:rsidR="00465A10">
        <w:rPr>
          <w:noProof/>
          <w:szCs w:val="24"/>
          <w:lang w:eastAsia="en-GB"/>
        </w:rPr>
        <w:t>legal status</w:t>
      </w:r>
      <w:r w:rsidR="00B56549" w:rsidRPr="002F5B6A">
        <w:rPr>
          <w:noProof/>
          <w:szCs w:val="24"/>
          <w:lang w:eastAsia="en-GB"/>
        </w:rPr>
        <w:t xml:space="preserve"> of </w:t>
      </w:r>
      <w:r w:rsidR="00465A10">
        <w:rPr>
          <w:noProof/>
          <w:szCs w:val="24"/>
          <w:lang w:eastAsia="en-GB"/>
        </w:rPr>
        <w:t xml:space="preserve">the </w:t>
      </w:r>
      <w:r w:rsidR="00B56549" w:rsidRPr="002F5B6A">
        <w:rPr>
          <w:noProof/>
          <w:szCs w:val="24"/>
          <w:lang w:eastAsia="en-GB"/>
        </w:rPr>
        <w:t>declarant</w:t>
      </w:r>
      <w:r w:rsidR="00813576" w:rsidRPr="002F5B6A">
        <w:rPr>
          <w:rStyle w:val="FootnoteReference"/>
          <w:noProof/>
          <w:szCs w:val="24"/>
          <w:lang w:eastAsia="en-GB"/>
        </w:rPr>
        <w:footnoteReference w:id="97"/>
      </w:r>
      <w:r w:rsidR="00B56549" w:rsidRPr="002F5B6A">
        <w:rPr>
          <w:noProof/>
          <w:szCs w:val="24"/>
          <w:lang w:eastAsia="en-GB"/>
        </w:rPr>
        <w:t>.</w:t>
      </w:r>
      <w:r w:rsidR="00C927D3" w:rsidRPr="002F5B6A">
        <w:rPr>
          <w:noProof/>
          <w:szCs w:val="24"/>
          <w:lang w:eastAsia="en-GB"/>
        </w:rPr>
        <w:t xml:space="preserve"> </w:t>
      </w:r>
      <w:r w:rsidR="001E34E4" w:rsidRPr="002F5B6A">
        <w:rPr>
          <w:noProof/>
          <w:szCs w:val="24"/>
          <w:lang w:eastAsia="en-GB"/>
        </w:rPr>
        <w:t>The omnibus law of June 2026</w:t>
      </w:r>
      <w:r w:rsidR="005B7F26" w:rsidRPr="002F5B6A">
        <w:rPr>
          <w:noProof/>
          <w:szCs w:val="24"/>
          <w:lang w:eastAsia="en-GB"/>
        </w:rPr>
        <w:t xml:space="preserve"> </w:t>
      </w:r>
      <w:r w:rsidR="001646B2" w:rsidRPr="002F5B6A">
        <w:rPr>
          <w:noProof/>
          <w:szCs w:val="24"/>
          <w:lang w:eastAsia="en-GB"/>
        </w:rPr>
        <w:t xml:space="preserve">also </w:t>
      </w:r>
      <w:r w:rsidR="005B7F26" w:rsidRPr="002F5B6A">
        <w:rPr>
          <w:noProof/>
          <w:szCs w:val="24"/>
          <w:lang w:eastAsia="en-GB"/>
        </w:rPr>
        <w:t>expands the definition of beneficial owner and broadens third-party access to the beneficial ownership regist</w:t>
      </w:r>
      <w:r w:rsidR="00C82F47" w:rsidRPr="002F5B6A">
        <w:rPr>
          <w:noProof/>
          <w:szCs w:val="24"/>
          <w:lang w:eastAsia="en-GB"/>
        </w:rPr>
        <w:t>e</w:t>
      </w:r>
      <w:r w:rsidR="005B7F26" w:rsidRPr="002F5B6A">
        <w:rPr>
          <w:noProof/>
          <w:szCs w:val="24"/>
          <w:lang w:eastAsia="en-GB"/>
        </w:rPr>
        <w:t>r</w:t>
      </w:r>
      <w:r w:rsidR="0044061E" w:rsidRPr="002F5B6A">
        <w:rPr>
          <w:rStyle w:val="FootnoteReference"/>
          <w:noProof/>
          <w:szCs w:val="24"/>
          <w:lang w:eastAsia="en-GB"/>
        </w:rPr>
        <w:footnoteReference w:id="98"/>
      </w:r>
      <w:r w:rsidR="00C82F47" w:rsidRPr="002F5B6A">
        <w:rPr>
          <w:noProof/>
          <w:szCs w:val="24"/>
          <w:lang w:eastAsia="en-GB"/>
        </w:rPr>
        <w:t xml:space="preserve">. </w:t>
      </w:r>
      <w:r w:rsidR="00651FDF" w:rsidRPr="00313FDF">
        <w:rPr>
          <w:noProof/>
          <w:szCs w:val="24"/>
          <w:lang w:eastAsia="en-GB"/>
        </w:rPr>
        <w:t xml:space="preserve">Since </w:t>
      </w:r>
      <w:r w:rsidR="00651FDF">
        <w:rPr>
          <w:noProof/>
          <w:szCs w:val="24"/>
          <w:lang w:eastAsia="en-GB"/>
        </w:rPr>
        <w:t>legislation was adopted to improve the asset declaration system,</w:t>
      </w:r>
      <w:r w:rsidR="00651FDF" w:rsidRPr="00313FDF">
        <w:rPr>
          <w:noProof/>
          <w:szCs w:val="24"/>
          <w:lang w:eastAsia="en-GB"/>
        </w:rPr>
        <w:t xml:space="preserve"> </w:t>
      </w:r>
      <w:r w:rsidR="00651FDF">
        <w:rPr>
          <w:noProof/>
          <w:szCs w:val="24"/>
          <w:lang w:eastAsia="en-GB"/>
        </w:rPr>
        <w:t xml:space="preserve">including oversight and enforcement, </w:t>
      </w:r>
      <w:r w:rsidR="00651FDF" w:rsidRPr="00313FDF">
        <w:rPr>
          <w:noProof/>
          <w:szCs w:val="24"/>
          <w:lang w:eastAsia="en-GB"/>
        </w:rPr>
        <w:t>th</w:t>
      </w:r>
      <w:r w:rsidR="00651FDF">
        <w:rPr>
          <w:noProof/>
          <w:szCs w:val="24"/>
          <w:lang w:eastAsia="en-GB"/>
        </w:rPr>
        <w:t>is part of the</w:t>
      </w:r>
      <w:r w:rsidR="00651FDF" w:rsidRPr="00313FDF">
        <w:rPr>
          <w:noProof/>
          <w:szCs w:val="24"/>
          <w:lang w:eastAsia="en-GB"/>
        </w:rPr>
        <w:t xml:space="preserve"> recommendation</w:t>
      </w:r>
      <w:r w:rsidR="00651FDF">
        <w:rPr>
          <w:noProof/>
          <w:szCs w:val="24"/>
          <w:lang w:eastAsia="en-GB"/>
        </w:rPr>
        <w:t xml:space="preserve"> has been fully implemented</w:t>
      </w:r>
      <w:r w:rsidR="00651FDF" w:rsidRPr="00313FDF">
        <w:rPr>
          <w:noProof/>
          <w:szCs w:val="24"/>
          <w:lang w:eastAsia="en-GB"/>
        </w:rPr>
        <w:t>.</w:t>
      </w:r>
    </w:p>
    <w:p w14:paraId="1FFF3204" w14:textId="6C93ACB0" w:rsidR="0051241E" w:rsidRDefault="00FC0AF3" w:rsidP="00FC0AF3">
      <w:pPr>
        <w:rPr>
          <w:noProof/>
          <w:szCs w:val="24"/>
          <w:lang w:eastAsia="en-GB"/>
        </w:rPr>
      </w:pPr>
      <w:r w:rsidRPr="006536D8">
        <w:rPr>
          <w:b/>
          <w:bCs/>
          <w:noProof/>
          <w:szCs w:val="24"/>
          <w:lang w:eastAsia="en-GB"/>
        </w:rPr>
        <w:t xml:space="preserve">There has been no progress </w:t>
      </w:r>
      <w:r w:rsidR="00FA6A15">
        <w:rPr>
          <w:b/>
          <w:bCs/>
          <w:noProof/>
          <w:szCs w:val="24"/>
          <w:lang w:eastAsia="en-GB"/>
        </w:rPr>
        <w:t xml:space="preserve">yet </w:t>
      </w:r>
      <w:r>
        <w:rPr>
          <w:b/>
          <w:bCs/>
          <w:noProof/>
          <w:szCs w:val="24"/>
          <w:lang w:eastAsia="en-GB"/>
        </w:rPr>
        <w:t xml:space="preserve">on the recommendation to adopt </w:t>
      </w:r>
      <w:r w:rsidRPr="006536D8">
        <w:rPr>
          <w:b/>
          <w:bCs/>
          <w:noProof/>
          <w:szCs w:val="24"/>
          <w:lang w:eastAsia="en-GB"/>
        </w:rPr>
        <w:t>comprehensive legislative reforms on lobbying and revolving doors</w:t>
      </w:r>
      <w:r>
        <w:rPr>
          <w:rStyle w:val="FootnoteReference"/>
          <w:b/>
          <w:bCs/>
          <w:noProof/>
          <w:szCs w:val="24"/>
          <w:lang w:eastAsia="en-GB"/>
        </w:rPr>
        <w:footnoteReference w:id="99"/>
      </w:r>
      <w:r w:rsidRPr="006536D8">
        <w:rPr>
          <w:b/>
          <w:bCs/>
          <w:noProof/>
          <w:szCs w:val="24"/>
          <w:lang w:eastAsia="en-GB"/>
        </w:rPr>
        <w:t xml:space="preserve">. </w:t>
      </w:r>
      <w:r w:rsidRPr="006536D8">
        <w:rPr>
          <w:noProof/>
          <w:szCs w:val="24"/>
          <w:lang w:eastAsia="en-GB"/>
        </w:rPr>
        <w:t xml:space="preserve">Despite plans to adopt comprehensive legislation on lobbying by 30 November 2025, no steps have </w:t>
      </w:r>
      <w:r>
        <w:rPr>
          <w:noProof/>
          <w:szCs w:val="24"/>
          <w:lang w:eastAsia="en-GB"/>
        </w:rPr>
        <w:t xml:space="preserve">yet </w:t>
      </w:r>
      <w:r w:rsidRPr="006536D8">
        <w:rPr>
          <w:noProof/>
          <w:szCs w:val="24"/>
          <w:lang w:eastAsia="en-GB"/>
        </w:rPr>
        <w:t>been taken in this regard</w:t>
      </w:r>
      <w:r w:rsidRPr="006536D8">
        <w:rPr>
          <w:rStyle w:val="FootnoteReference"/>
          <w:noProof/>
          <w:szCs w:val="24"/>
          <w:lang w:eastAsia="en-GB"/>
        </w:rPr>
        <w:footnoteReference w:id="100"/>
      </w:r>
      <w:r w:rsidRPr="006536D8">
        <w:rPr>
          <w:noProof/>
          <w:szCs w:val="24"/>
          <w:lang w:eastAsia="en-GB"/>
        </w:rPr>
        <w:t xml:space="preserve">. </w:t>
      </w:r>
      <w:r>
        <w:rPr>
          <w:noProof/>
          <w:szCs w:val="24"/>
          <w:lang w:eastAsia="en-GB"/>
        </w:rPr>
        <w:t>CSO</w:t>
      </w:r>
      <w:r w:rsidRPr="006536D8">
        <w:rPr>
          <w:noProof/>
          <w:szCs w:val="24"/>
          <w:lang w:eastAsia="en-GB"/>
        </w:rPr>
        <w:t>s stress that the lack of transparency leaves the legislative process vulnerable to undue external influence</w:t>
      </w:r>
      <w:r w:rsidRPr="006536D8">
        <w:rPr>
          <w:rStyle w:val="FootnoteReference"/>
          <w:noProof/>
          <w:szCs w:val="24"/>
          <w:lang w:eastAsia="en-GB"/>
        </w:rPr>
        <w:footnoteReference w:id="101"/>
      </w:r>
      <w:r w:rsidRPr="006536D8">
        <w:rPr>
          <w:noProof/>
          <w:szCs w:val="24"/>
          <w:lang w:eastAsia="en-GB"/>
        </w:rPr>
        <w:t xml:space="preserve">. The </w:t>
      </w:r>
      <w:r>
        <w:rPr>
          <w:noProof/>
          <w:szCs w:val="24"/>
          <w:lang w:eastAsia="en-GB"/>
        </w:rPr>
        <w:t>absence</w:t>
      </w:r>
      <w:r w:rsidRPr="006536D8">
        <w:rPr>
          <w:noProof/>
          <w:szCs w:val="24"/>
          <w:lang w:eastAsia="en-GB"/>
        </w:rPr>
        <w:t xml:space="preserve"> of post-employment restrictions </w:t>
      </w:r>
      <w:r>
        <w:rPr>
          <w:noProof/>
          <w:szCs w:val="24"/>
          <w:lang w:eastAsia="en-GB"/>
        </w:rPr>
        <w:t>and of</w:t>
      </w:r>
      <w:r w:rsidRPr="006536D8">
        <w:rPr>
          <w:noProof/>
          <w:szCs w:val="24"/>
          <w:lang w:eastAsia="en-GB"/>
        </w:rPr>
        <w:t xml:space="preserve"> an effective enforcement mechanism also remains a concern</w:t>
      </w:r>
      <w:r w:rsidRPr="006536D8">
        <w:rPr>
          <w:rStyle w:val="FootnoteReference"/>
          <w:noProof/>
          <w:szCs w:val="24"/>
          <w:lang w:eastAsia="en-GB"/>
        </w:rPr>
        <w:footnoteReference w:id="102"/>
      </w:r>
      <w:r w:rsidRPr="006536D8">
        <w:rPr>
          <w:noProof/>
          <w:szCs w:val="24"/>
          <w:lang w:eastAsia="en-GB"/>
        </w:rPr>
        <w:t>. In this regard</w:t>
      </w:r>
      <w:r>
        <w:rPr>
          <w:noProof/>
          <w:szCs w:val="24"/>
          <w:lang w:eastAsia="en-GB"/>
        </w:rPr>
        <w:t>,</w:t>
      </w:r>
      <w:r w:rsidRPr="006536D8">
        <w:rPr>
          <w:noProof/>
          <w:szCs w:val="24"/>
          <w:lang w:eastAsia="en-GB"/>
        </w:rPr>
        <w:t xml:space="preserve"> stakeholders signal that senior officials frequently transition between the executive, the legislature, and independent oversight bodies without cooling-off periods or substantive conflict-of-interest assessments</w:t>
      </w:r>
      <w:r w:rsidRPr="006536D8">
        <w:rPr>
          <w:rStyle w:val="FootnoteReference"/>
          <w:noProof/>
          <w:szCs w:val="24"/>
          <w:lang w:eastAsia="en-GB"/>
        </w:rPr>
        <w:footnoteReference w:id="103"/>
      </w:r>
      <w:r w:rsidRPr="006536D8">
        <w:rPr>
          <w:noProof/>
          <w:szCs w:val="24"/>
          <w:lang w:eastAsia="en-GB"/>
        </w:rPr>
        <w:t xml:space="preserve">. </w:t>
      </w:r>
      <w:r w:rsidR="009842F9" w:rsidRPr="00313FDF">
        <w:rPr>
          <w:noProof/>
          <w:szCs w:val="24"/>
          <w:lang w:eastAsia="en-GB"/>
        </w:rPr>
        <w:t>Since no steps have been taken for a comprehensive reform on lobbying and post-employment rules</w:t>
      </w:r>
      <w:r w:rsidR="009842F9">
        <w:rPr>
          <w:noProof/>
          <w:szCs w:val="24"/>
          <w:lang w:eastAsia="en-GB"/>
        </w:rPr>
        <w:t>,</w:t>
      </w:r>
      <w:r w:rsidR="009842F9" w:rsidRPr="00313FDF">
        <w:rPr>
          <w:noProof/>
          <w:szCs w:val="24"/>
          <w:lang w:eastAsia="en-GB"/>
        </w:rPr>
        <w:t xml:space="preserve"> there has been no progress on th</w:t>
      </w:r>
      <w:r w:rsidR="009842F9">
        <w:rPr>
          <w:noProof/>
          <w:szCs w:val="24"/>
          <w:lang w:eastAsia="en-GB"/>
        </w:rPr>
        <w:t>is part of the</w:t>
      </w:r>
      <w:r w:rsidR="009842F9" w:rsidRPr="00313FDF">
        <w:rPr>
          <w:noProof/>
          <w:szCs w:val="24"/>
          <w:lang w:eastAsia="en-GB"/>
        </w:rPr>
        <w:t xml:space="preserve"> recommendation.</w:t>
      </w:r>
    </w:p>
    <w:p w14:paraId="17BC4261" w14:textId="7622DD01" w:rsidR="00FC0AF3" w:rsidRPr="006536D8" w:rsidRDefault="00C50FE6" w:rsidP="00FC0AF3">
      <w:pPr>
        <w:rPr>
          <w:noProof/>
          <w:lang w:eastAsia="en-GB"/>
        </w:rPr>
      </w:pPr>
      <w:r w:rsidRPr="7E935E22">
        <w:rPr>
          <w:b/>
          <w:noProof/>
          <w:lang w:eastAsia="en-GB"/>
        </w:rPr>
        <w:t>Steps have been taken to address conflicts of interest in the governance structures of public interest trusts and n</w:t>
      </w:r>
      <w:r w:rsidR="00FC0AF3" w:rsidRPr="7E935E22">
        <w:rPr>
          <w:b/>
          <w:noProof/>
          <w:lang w:eastAsia="en-GB"/>
        </w:rPr>
        <w:t>on-binding measures on conflicts of interests have been adopted in certain sectors</w:t>
      </w:r>
      <w:r w:rsidR="00FC0AF3" w:rsidRPr="37CB35FC">
        <w:rPr>
          <w:noProof/>
          <w:lang w:eastAsia="en-GB"/>
        </w:rPr>
        <w:t xml:space="preserve">. </w:t>
      </w:r>
      <w:r w:rsidR="007677EF" w:rsidRPr="37CB35FC">
        <w:rPr>
          <w:noProof/>
          <w:lang w:eastAsia="en-GB"/>
        </w:rPr>
        <w:t>In line with t</w:t>
      </w:r>
      <w:r w:rsidR="00437547" w:rsidRPr="37CB35FC">
        <w:rPr>
          <w:noProof/>
          <w:lang w:eastAsia="en-GB"/>
        </w:rPr>
        <w:t xml:space="preserve">he </w:t>
      </w:r>
      <w:r w:rsidR="00D01300" w:rsidRPr="37CB35FC">
        <w:rPr>
          <w:noProof/>
          <w:lang w:eastAsia="en-GB"/>
        </w:rPr>
        <w:t>S</w:t>
      </w:r>
      <w:r w:rsidR="00985BC8" w:rsidRPr="37CB35FC">
        <w:rPr>
          <w:noProof/>
          <w:lang w:eastAsia="en-GB"/>
        </w:rPr>
        <w:t xml:space="preserve">ixteenth </w:t>
      </w:r>
      <w:r w:rsidR="00D01300" w:rsidRPr="37CB35FC">
        <w:rPr>
          <w:noProof/>
          <w:lang w:eastAsia="en-GB"/>
        </w:rPr>
        <w:t>A</w:t>
      </w:r>
      <w:r w:rsidR="00985BC8" w:rsidRPr="37CB35FC">
        <w:rPr>
          <w:noProof/>
          <w:lang w:eastAsia="en-GB"/>
        </w:rPr>
        <w:t>mendment to the Fundamental Law</w:t>
      </w:r>
      <w:r w:rsidR="007677EF" w:rsidRPr="37CB35FC">
        <w:rPr>
          <w:noProof/>
          <w:lang w:eastAsia="en-GB"/>
        </w:rPr>
        <w:t xml:space="preserve">, the </w:t>
      </w:r>
      <w:r w:rsidR="00437547" w:rsidRPr="37CB35FC">
        <w:rPr>
          <w:noProof/>
          <w:lang w:eastAsia="en-GB"/>
        </w:rPr>
        <w:t xml:space="preserve">omnibus law of June 2026 </w:t>
      </w:r>
      <w:r w:rsidR="007677EF" w:rsidRPr="37CB35FC">
        <w:rPr>
          <w:noProof/>
          <w:lang w:eastAsia="en-GB"/>
        </w:rPr>
        <w:t xml:space="preserve">provides for the </w:t>
      </w:r>
      <w:r w:rsidR="00F8595A" w:rsidRPr="37CB35FC">
        <w:rPr>
          <w:noProof/>
          <w:lang w:eastAsia="en-GB"/>
        </w:rPr>
        <w:t>dissolution of public interest trusts</w:t>
      </w:r>
      <w:r w:rsidR="005070E3" w:rsidRPr="37CB35FC">
        <w:rPr>
          <w:noProof/>
          <w:lang w:eastAsia="en-GB"/>
        </w:rPr>
        <w:t xml:space="preserve"> (PITs)</w:t>
      </w:r>
      <w:r w:rsidR="00790F63">
        <w:rPr>
          <w:rStyle w:val="FootnoteReference"/>
          <w:noProof/>
          <w:szCs w:val="24"/>
          <w:lang w:eastAsia="en-GB"/>
        </w:rPr>
        <w:footnoteReference w:id="104"/>
      </w:r>
      <w:r w:rsidR="00F8595A" w:rsidRPr="37CB35FC">
        <w:rPr>
          <w:noProof/>
          <w:lang w:eastAsia="en-GB"/>
        </w:rPr>
        <w:t>.</w:t>
      </w:r>
      <w:r w:rsidR="00C77A5C" w:rsidRPr="00C77A5C">
        <w:rPr>
          <w:noProof/>
        </w:rPr>
        <w:t xml:space="preserve"> </w:t>
      </w:r>
      <w:r w:rsidR="00507112">
        <w:rPr>
          <w:noProof/>
        </w:rPr>
        <w:t>PIT</w:t>
      </w:r>
      <w:r w:rsidR="00BE0A7B" w:rsidRPr="00BE0A7B">
        <w:rPr>
          <w:noProof/>
        </w:rPr>
        <w:t xml:space="preserve">s not maintaining a </w:t>
      </w:r>
      <w:r w:rsidR="00BE0A7B" w:rsidRPr="37CB35FC">
        <w:rPr>
          <w:noProof/>
          <w:lang w:eastAsia="en-GB"/>
        </w:rPr>
        <w:t>higher</w:t>
      </w:r>
      <w:r w:rsidR="00BE0A7B" w:rsidRPr="00BE0A7B">
        <w:rPr>
          <w:noProof/>
        </w:rPr>
        <w:t xml:space="preserve"> </w:t>
      </w:r>
      <w:r w:rsidR="00BE0A7B" w:rsidRPr="37CB35FC">
        <w:rPr>
          <w:noProof/>
          <w:lang w:eastAsia="en-GB"/>
        </w:rPr>
        <w:t xml:space="preserve">education </w:t>
      </w:r>
      <w:r w:rsidR="00BE0A7B" w:rsidRPr="00BE0A7B">
        <w:rPr>
          <w:noProof/>
        </w:rPr>
        <w:t>institution</w:t>
      </w:r>
      <w:r w:rsidR="00BE0A7B" w:rsidRPr="37CB35FC">
        <w:rPr>
          <w:noProof/>
          <w:lang w:eastAsia="en-GB"/>
        </w:rPr>
        <w:t xml:space="preserve"> </w:t>
      </w:r>
      <w:r w:rsidR="00570BAB" w:rsidRPr="37CB35FC">
        <w:rPr>
          <w:noProof/>
          <w:lang w:eastAsia="en-GB"/>
        </w:rPr>
        <w:t xml:space="preserve">in Hungary </w:t>
      </w:r>
      <w:r w:rsidR="00BE0A7B" w:rsidRPr="37CB35FC">
        <w:rPr>
          <w:noProof/>
          <w:lang w:eastAsia="en-GB"/>
        </w:rPr>
        <w:t>must be dissolved by 31 August 2026</w:t>
      </w:r>
      <w:r w:rsidR="00BE0A7B" w:rsidRPr="00BE0A7B">
        <w:rPr>
          <w:noProof/>
        </w:rPr>
        <w:t>,</w:t>
      </w:r>
      <w:r w:rsidR="00BE0A7B" w:rsidRPr="37CB35FC">
        <w:rPr>
          <w:noProof/>
          <w:lang w:eastAsia="en-GB"/>
        </w:rPr>
        <w:t xml:space="preserve"> while higher education </w:t>
      </w:r>
      <w:r w:rsidR="00570BAB" w:rsidRPr="37CB35FC">
        <w:rPr>
          <w:noProof/>
          <w:lang w:eastAsia="en-GB"/>
        </w:rPr>
        <w:t>PITs</w:t>
      </w:r>
      <w:r w:rsidR="00BE0A7B" w:rsidRPr="37CB35FC">
        <w:rPr>
          <w:noProof/>
          <w:lang w:eastAsia="en-GB"/>
        </w:rPr>
        <w:t xml:space="preserve"> must be dissolved by 1 August 2027.</w:t>
      </w:r>
      <w:r w:rsidR="00456733" w:rsidRPr="00456733">
        <w:rPr>
          <w:noProof/>
        </w:rPr>
        <w:t xml:space="preserve"> </w:t>
      </w:r>
      <w:r w:rsidR="00610140" w:rsidRPr="37CB35FC">
        <w:rPr>
          <w:noProof/>
          <w:lang w:eastAsia="en-GB"/>
        </w:rPr>
        <w:t>Pending</w:t>
      </w:r>
      <w:r w:rsidR="00456733" w:rsidRPr="37CB35FC">
        <w:rPr>
          <w:noProof/>
          <w:lang w:eastAsia="en-GB"/>
        </w:rPr>
        <w:t xml:space="preserve"> dissolution,</w:t>
      </w:r>
      <w:r w:rsidR="00D1562E" w:rsidRPr="37CB35FC">
        <w:rPr>
          <w:noProof/>
          <w:lang w:eastAsia="en-GB"/>
        </w:rPr>
        <w:t xml:space="preserve"> </w:t>
      </w:r>
      <w:r w:rsidR="005C0C32" w:rsidRPr="37CB35FC">
        <w:rPr>
          <w:noProof/>
          <w:lang w:eastAsia="en-GB"/>
        </w:rPr>
        <w:t>b</w:t>
      </w:r>
      <w:r w:rsidR="00456733" w:rsidRPr="37CB35FC">
        <w:rPr>
          <w:noProof/>
          <w:lang w:eastAsia="en-GB"/>
        </w:rPr>
        <w:t>oard members</w:t>
      </w:r>
      <w:r w:rsidR="0066339C" w:rsidRPr="37CB35FC">
        <w:rPr>
          <w:noProof/>
          <w:lang w:eastAsia="en-GB"/>
        </w:rPr>
        <w:t xml:space="preserve"> and executive officers, including incumbent ones,</w:t>
      </w:r>
      <w:r w:rsidR="00456733" w:rsidRPr="37CB35FC">
        <w:rPr>
          <w:noProof/>
          <w:lang w:eastAsia="en-GB"/>
        </w:rPr>
        <w:t xml:space="preserve"> </w:t>
      </w:r>
      <w:r w:rsidR="00B86D3A" w:rsidRPr="37CB35FC">
        <w:rPr>
          <w:noProof/>
          <w:lang w:eastAsia="en-GB"/>
        </w:rPr>
        <w:t>must meet strict integrity requirements</w:t>
      </w:r>
      <w:r w:rsidR="0066339C" w:rsidRPr="37CB35FC">
        <w:rPr>
          <w:noProof/>
          <w:lang w:eastAsia="en-GB"/>
        </w:rPr>
        <w:t xml:space="preserve">. </w:t>
      </w:r>
      <w:r w:rsidR="004A60F6" w:rsidRPr="37CB35FC">
        <w:rPr>
          <w:noProof/>
          <w:lang w:eastAsia="en-GB"/>
        </w:rPr>
        <w:t xml:space="preserve">These include </w:t>
      </w:r>
      <w:r w:rsidR="00917E9A" w:rsidRPr="37CB35FC">
        <w:rPr>
          <w:noProof/>
          <w:lang w:eastAsia="en-GB"/>
        </w:rPr>
        <w:t xml:space="preserve">appointment via </w:t>
      </w:r>
      <w:r w:rsidR="006B19CD" w:rsidRPr="37CB35FC">
        <w:rPr>
          <w:noProof/>
          <w:lang w:eastAsia="en-GB"/>
        </w:rPr>
        <w:t xml:space="preserve">an </w:t>
      </w:r>
      <w:r w:rsidR="00917E9A" w:rsidRPr="37CB35FC">
        <w:rPr>
          <w:noProof/>
          <w:lang w:eastAsia="en-GB"/>
        </w:rPr>
        <w:t xml:space="preserve">open call, </w:t>
      </w:r>
      <w:r w:rsidR="00A51E8A" w:rsidRPr="37CB35FC">
        <w:rPr>
          <w:noProof/>
          <w:lang w:eastAsia="en-GB"/>
        </w:rPr>
        <w:t>eligibility criter</w:t>
      </w:r>
      <w:r w:rsidR="005B1535" w:rsidRPr="37CB35FC">
        <w:rPr>
          <w:noProof/>
          <w:lang w:eastAsia="en-GB"/>
        </w:rPr>
        <w:t xml:space="preserve">ia, </w:t>
      </w:r>
      <w:r w:rsidR="00917E9A" w:rsidRPr="37CB35FC">
        <w:rPr>
          <w:noProof/>
          <w:lang w:eastAsia="en-GB"/>
        </w:rPr>
        <w:t xml:space="preserve">incompatibility rules, </w:t>
      </w:r>
      <w:r w:rsidR="13E8A581" w:rsidRPr="37CB35FC">
        <w:rPr>
          <w:noProof/>
          <w:lang w:eastAsia="en-GB"/>
        </w:rPr>
        <w:t>and</w:t>
      </w:r>
      <w:r w:rsidR="00917E9A" w:rsidRPr="37CB35FC">
        <w:rPr>
          <w:noProof/>
          <w:lang w:eastAsia="en-GB"/>
        </w:rPr>
        <w:t xml:space="preserve"> </w:t>
      </w:r>
      <w:r w:rsidR="005B1535" w:rsidRPr="37CB35FC">
        <w:rPr>
          <w:noProof/>
          <w:lang w:eastAsia="en-GB"/>
        </w:rPr>
        <w:t>a</w:t>
      </w:r>
      <w:r w:rsidR="00456733" w:rsidRPr="37CB35FC">
        <w:rPr>
          <w:noProof/>
          <w:lang w:eastAsia="en-GB"/>
        </w:rPr>
        <w:t xml:space="preserve"> four-year </w:t>
      </w:r>
      <w:r w:rsidR="005B1535" w:rsidRPr="37CB35FC">
        <w:rPr>
          <w:noProof/>
          <w:lang w:eastAsia="en-GB"/>
        </w:rPr>
        <w:t>mandate limitation</w:t>
      </w:r>
      <w:r w:rsidR="0081101B" w:rsidRPr="37CB35FC">
        <w:rPr>
          <w:noProof/>
          <w:lang w:eastAsia="en-GB"/>
        </w:rPr>
        <w:t xml:space="preserve">. </w:t>
      </w:r>
      <w:r w:rsidR="00351E49" w:rsidRPr="37CB35FC">
        <w:rPr>
          <w:noProof/>
          <w:lang w:eastAsia="en-GB"/>
        </w:rPr>
        <w:t xml:space="preserve">Moreover, they would be </w:t>
      </w:r>
      <w:r w:rsidR="00456733" w:rsidRPr="37CB35FC">
        <w:rPr>
          <w:noProof/>
          <w:lang w:eastAsia="en-GB"/>
        </w:rPr>
        <w:t>subject to independent vetting by the State Audit Office</w:t>
      </w:r>
      <w:r w:rsidR="00351E49" w:rsidRPr="37CB35FC">
        <w:rPr>
          <w:noProof/>
          <w:lang w:eastAsia="en-GB"/>
        </w:rPr>
        <w:t xml:space="preserve"> and verification of their asset and interest declaration</w:t>
      </w:r>
      <w:r w:rsidR="5987E478" w:rsidRPr="37CB35FC">
        <w:rPr>
          <w:noProof/>
          <w:lang w:eastAsia="en-GB"/>
        </w:rPr>
        <w:t>s</w:t>
      </w:r>
      <w:r w:rsidR="00351E49" w:rsidRPr="37CB35FC">
        <w:rPr>
          <w:noProof/>
          <w:lang w:eastAsia="en-GB"/>
        </w:rPr>
        <w:t xml:space="preserve"> by the </w:t>
      </w:r>
      <w:r w:rsidR="00593DB7" w:rsidRPr="37CB35FC">
        <w:rPr>
          <w:noProof/>
          <w:lang w:eastAsia="en-GB"/>
        </w:rPr>
        <w:t>IA</w:t>
      </w:r>
      <w:r w:rsidR="00456733" w:rsidRPr="37CB35FC">
        <w:rPr>
          <w:noProof/>
          <w:lang w:eastAsia="en-GB"/>
        </w:rPr>
        <w:t>.</w:t>
      </w:r>
      <w:r w:rsidR="00B039E8" w:rsidRPr="37CB35FC">
        <w:rPr>
          <w:noProof/>
          <w:lang w:eastAsia="en-GB"/>
        </w:rPr>
        <w:t xml:space="preserve"> </w:t>
      </w:r>
      <w:r w:rsidR="00FC0AF3" w:rsidRPr="37CB35FC">
        <w:rPr>
          <w:noProof/>
          <w:lang w:eastAsia="en-GB"/>
        </w:rPr>
        <w:t>Following the adoption of a Code of Ethics and Conduct for civil servants of the Office of the National Assembly in 2024, an integrity awareness-raising training programme and assessment questionnaire have been developed</w:t>
      </w:r>
      <w:r w:rsidR="00FC0AF3" w:rsidRPr="37CB35FC">
        <w:rPr>
          <w:rStyle w:val="FootnoteReference"/>
          <w:noProof/>
          <w:lang w:eastAsia="en-GB"/>
        </w:rPr>
        <w:footnoteReference w:id="105"/>
      </w:r>
      <w:r w:rsidR="00FC0AF3" w:rsidRPr="37CB35FC">
        <w:rPr>
          <w:noProof/>
          <w:lang w:eastAsia="en-GB"/>
        </w:rPr>
        <w:t>. No dedicated codes of ethics have been drafted for members of Parliament and persons in top executive functions, as recommended by GRECO</w:t>
      </w:r>
      <w:r w:rsidR="00FC0AF3" w:rsidRPr="37CB35FC">
        <w:rPr>
          <w:rStyle w:val="FootnoteReference"/>
          <w:noProof/>
          <w:lang w:eastAsia="en-GB"/>
        </w:rPr>
        <w:footnoteReference w:id="106"/>
      </w:r>
      <w:r w:rsidR="00FC0AF3" w:rsidRPr="37CB35FC">
        <w:rPr>
          <w:noProof/>
          <w:lang w:eastAsia="en-GB"/>
        </w:rPr>
        <w:t>. There are no rules in place regarding situations of personal conflicts of interest of members of Parliament. In 2025, no incompatibility and conflicts of interest proceedings were initiated for members of Parliament</w:t>
      </w:r>
      <w:r w:rsidR="00FC0AF3" w:rsidRPr="37CB35FC">
        <w:rPr>
          <w:rStyle w:val="FootnoteReference"/>
          <w:noProof/>
          <w:lang w:eastAsia="en-GB"/>
        </w:rPr>
        <w:footnoteReference w:id="107"/>
      </w:r>
      <w:r w:rsidR="00FC0AF3" w:rsidRPr="37CB35FC">
        <w:rPr>
          <w:noProof/>
          <w:lang w:eastAsia="en-GB"/>
        </w:rPr>
        <w:t>. The Hungarian Corps of Government Officials approved a revised Code of Professional Ethics on 10 July 2025, including rules on avoiding conflicts of interest and managing interactions with lobbyists</w:t>
      </w:r>
      <w:r w:rsidR="00FC0AF3" w:rsidRPr="37CB35FC">
        <w:rPr>
          <w:rStyle w:val="FootnoteReference"/>
          <w:noProof/>
          <w:lang w:eastAsia="en-GB"/>
        </w:rPr>
        <w:footnoteReference w:id="108"/>
      </w:r>
      <w:r w:rsidR="00FC0AF3" w:rsidRPr="37CB35FC">
        <w:rPr>
          <w:noProof/>
          <w:lang w:eastAsia="en-GB"/>
        </w:rPr>
        <w:t>. In November 2025, the NOJ President, with the consent of the National Judicial Council, updated the integrity rules to be followed in the event of judges accepting gifts</w:t>
      </w:r>
      <w:r w:rsidR="00FC0AF3" w:rsidRPr="37CB35FC">
        <w:rPr>
          <w:rStyle w:val="FootnoteReference"/>
          <w:noProof/>
          <w:lang w:eastAsia="en-GB"/>
        </w:rPr>
        <w:footnoteReference w:id="109"/>
      </w:r>
      <w:r w:rsidR="00FC0AF3" w:rsidRPr="37CB35FC">
        <w:rPr>
          <w:noProof/>
          <w:lang w:eastAsia="en-GB"/>
        </w:rPr>
        <w:t>.</w:t>
      </w:r>
      <w:r w:rsidR="00FC0AF3" w:rsidRPr="37CB35FC" w:rsidDel="00880D7D">
        <w:rPr>
          <w:noProof/>
          <w:lang w:eastAsia="en-GB"/>
        </w:rPr>
        <w:t xml:space="preserve"> </w:t>
      </w:r>
      <w:r w:rsidR="00FC0AF3" w:rsidRPr="37CB35FC">
        <w:rPr>
          <w:noProof/>
          <w:lang w:eastAsia="en-GB"/>
        </w:rPr>
        <w:t>Previously identified weaknesses</w:t>
      </w:r>
      <w:r w:rsidR="00A21D3F" w:rsidRPr="37CB35FC">
        <w:rPr>
          <w:noProof/>
          <w:lang w:eastAsia="en-GB"/>
        </w:rPr>
        <w:t>,</w:t>
      </w:r>
      <w:r w:rsidR="00FC0AF3" w:rsidRPr="37CB35FC">
        <w:rPr>
          <w:noProof/>
          <w:lang w:eastAsia="en-GB"/>
        </w:rPr>
        <w:t xml:space="preserve"> </w:t>
      </w:r>
      <w:r w:rsidR="00350E4C" w:rsidRPr="37CB35FC">
        <w:rPr>
          <w:noProof/>
          <w:lang w:eastAsia="en-GB"/>
        </w:rPr>
        <w:t>such</w:t>
      </w:r>
      <w:r w:rsidR="00FC0AF3" w:rsidRPr="37CB35FC">
        <w:rPr>
          <w:noProof/>
          <w:lang w:eastAsia="en-GB"/>
        </w:rPr>
        <w:t xml:space="preserve"> as the fragmentation of the legislative framework on conflicts of interest, the lack of a general definition of conflicts of interest and the absence of a central supervisory body, remain </w:t>
      </w:r>
      <w:r w:rsidR="006D3403" w:rsidRPr="37CB35FC">
        <w:rPr>
          <w:noProof/>
          <w:lang w:eastAsia="en-GB"/>
        </w:rPr>
        <w:t>to be addressed</w:t>
      </w:r>
      <w:r w:rsidR="00FC0AF3" w:rsidRPr="37CB35FC">
        <w:rPr>
          <w:noProof/>
          <w:lang w:eastAsia="en-GB"/>
        </w:rPr>
        <w:t>.</w:t>
      </w:r>
    </w:p>
    <w:p w14:paraId="6EAA8FD5" w14:textId="7E53FB6D" w:rsidR="00C7330A" w:rsidRPr="006536D8" w:rsidRDefault="00FC0AF3" w:rsidP="00FC0AF3">
      <w:pPr>
        <w:rPr>
          <w:noProof/>
          <w:szCs w:val="24"/>
          <w:lang w:eastAsia="en-GB"/>
        </w:rPr>
      </w:pPr>
      <w:r w:rsidRPr="003D7F1D">
        <w:rPr>
          <w:b/>
          <w:bCs/>
          <w:noProof/>
          <w:szCs w:val="24"/>
          <w:lang w:eastAsia="en-GB"/>
        </w:rPr>
        <w:t>The</w:t>
      </w:r>
      <w:r>
        <w:rPr>
          <w:b/>
          <w:bCs/>
          <w:noProof/>
          <w:szCs w:val="24"/>
          <w:lang w:eastAsia="en-GB"/>
        </w:rPr>
        <w:t xml:space="preserve"> </w:t>
      </w:r>
      <w:r w:rsidRPr="003D7F1D">
        <w:rPr>
          <w:b/>
          <w:bCs/>
          <w:noProof/>
          <w:szCs w:val="24"/>
          <w:lang w:eastAsia="en-GB"/>
        </w:rPr>
        <w:t>framework for the protection of whistleblowers is in place, however,</w:t>
      </w:r>
      <w:r>
        <w:rPr>
          <w:b/>
          <w:bCs/>
          <w:noProof/>
          <w:szCs w:val="24"/>
          <w:lang w:eastAsia="en-GB"/>
        </w:rPr>
        <w:t xml:space="preserve"> </w:t>
      </w:r>
      <w:r w:rsidRPr="003D7F1D">
        <w:rPr>
          <w:b/>
          <w:bCs/>
          <w:noProof/>
          <w:szCs w:val="24"/>
          <w:lang w:eastAsia="en-GB"/>
        </w:rPr>
        <w:t>the existence of different regimes for whistleblower reporting risks weakening protection.</w:t>
      </w:r>
      <w:r w:rsidRPr="00B53FAA">
        <w:rPr>
          <w:b/>
          <w:bCs/>
          <w:noProof/>
          <w:szCs w:val="24"/>
          <w:lang w:eastAsia="en-GB"/>
        </w:rPr>
        <w:t xml:space="preserve"> </w:t>
      </w:r>
      <w:r w:rsidRPr="006536D8">
        <w:rPr>
          <w:noProof/>
          <w:szCs w:val="24"/>
          <w:lang w:eastAsia="en-GB"/>
        </w:rPr>
        <w:t>The Commissioner for Fundamental Rights continues to oversee the national whistleblowing regime</w:t>
      </w:r>
      <w:r>
        <w:rPr>
          <w:rStyle w:val="FootnoteReference"/>
          <w:noProof/>
          <w:szCs w:val="24"/>
          <w:lang w:eastAsia="en-GB"/>
        </w:rPr>
        <w:footnoteReference w:id="110"/>
      </w:r>
      <w:r w:rsidRPr="006536D8">
        <w:rPr>
          <w:noProof/>
          <w:szCs w:val="24"/>
          <w:lang w:eastAsia="en-GB"/>
        </w:rPr>
        <w:t>. In 2024, submissions to the Commissioner’s protected electronic system rose by 16% but the vast majority did not concern corruption</w:t>
      </w:r>
      <w:r w:rsidRPr="006536D8">
        <w:rPr>
          <w:rStyle w:val="FootnoteReference"/>
          <w:noProof/>
          <w:szCs w:val="24"/>
          <w:lang w:eastAsia="en-GB"/>
        </w:rPr>
        <w:footnoteReference w:id="111"/>
      </w:r>
      <w:r w:rsidRPr="006536D8">
        <w:rPr>
          <w:noProof/>
          <w:szCs w:val="24"/>
          <w:lang w:eastAsia="en-GB"/>
        </w:rPr>
        <w:t xml:space="preserve">. </w:t>
      </w:r>
      <w:r w:rsidR="00EA5FD5" w:rsidRPr="00EA5FD5">
        <w:rPr>
          <w:noProof/>
          <w:szCs w:val="24"/>
          <w:lang w:eastAsia="en-GB"/>
        </w:rPr>
        <w:t xml:space="preserve">The Office of the Commissioner submitted its first comprehensive data report under </w:t>
      </w:r>
      <w:r w:rsidR="000902C8">
        <w:rPr>
          <w:noProof/>
          <w:szCs w:val="24"/>
          <w:lang w:eastAsia="en-GB"/>
        </w:rPr>
        <w:t>the Whist</w:t>
      </w:r>
      <w:r w:rsidR="00511EEA">
        <w:rPr>
          <w:noProof/>
          <w:szCs w:val="24"/>
          <w:lang w:eastAsia="en-GB"/>
        </w:rPr>
        <w:t>leblowing Act</w:t>
      </w:r>
      <w:r w:rsidR="00EA5FD5" w:rsidRPr="00EA5FD5">
        <w:rPr>
          <w:noProof/>
          <w:szCs w:val="24"/>
          <w:lang w:eastAsia="en-GB"/>
        </w:rPr>
        <w:t>, in the standard format prescribed by the European Commission, by the statutory deadline of 31 March 2025. Disclosures may be submitted anonymously, their status can be tracked online, and anonymi</w:t>
      </w:r>
      <w:r w:rsidR="007B1E27">
        <w:rPr>
          <w:noProof/>
          <w:szCs w:val="24"/>
          <w:lang w:eastAsia="en-GB"/>
        </w:rPr>
        <w:t>s</w:t>
      </w:r>
      <w:r w:rsidR="00EA5FD5" w:rsidRPr="00EA5FD5">
        <w:rPr>
          <w:noProof/>
          <w:szCs w:val="24"/>
          <w:lang w:eastAsia="en-GB"/>
        </w:rPr>
        <w:t>ed extracts of reports and their outcomes are published on the Office’s website</w:t>
      </w:r>
      <w:r w:rsidR="007B1E27">
        <w:rPr>
          <w:rStyle w:val="FootnoteReference"/>
          <w:noProof/>
          <w:szCs w:val="24"/>
          <w:lang w:eastAsia="en-GB"/>
        </w:rPr>
        <w:footnoteReference w:id="112"/>
      </w:r>
      <w:r w:rsidR="00EA5FD5" w:rsidRPr="00EA5FD5">
        <w:rPr>
          <w:noProof/>
          <w:szCs w:val="24"/>
          <w:lang w:eastAsia="en-GB"/>
        </w:rPr>
        <w:t>.</w:t>
      </w:r>
      <w:r w:rsidR="007B1E27">
        <w:rPr>
          <w:noProof/>
          <w:szCs w:val="24"/>
          <w:lang w:eastAsia="en-GB"/>
        </w:rPr>
        <w:t xml:space="preserve"> </w:t>
      </w:r>
      <w:r w:rsidRPr="006536D8">
        <w:rPr>
          <w:noProof/>
          <w:szCs w:val="24"/>
          <w:lang w:eastAsia="en-GB"/>
        </w:rPr>
        <w:t xml:space="preserve">Whistleblower reports have proven a more effective tool in specific regulated areas, as 43% of reports submitted to the Public Procurement Authority led to the initiation of </w:t>
      </w:r>
      <w:r w:rsidRPr="004A6B0D">
        <w:rPr>
          <w:noProof/>
          <w:szCs w:val="24"/>
          <w:lang w:eastAsia="en-GB"/>
        </w:rPr>
        <w:t>contract audits and remedy procedures before the Arbitration Board</w:t>
      </w:r>
      <w:r>
        <w:rPr>
          <w:noProof/>
          <w:szCs w:val="24"/>
          <w:lang w:eastAsia="en-GB"/>
        </w:rPr>
        <w:t xml:space="preserve">, </w:t>
      </w:r>
      <w:r w:rsidRPr="006536D8">
        <w:rPr>
          <w:noProof/>
          <w:szCs w:val="24"/>
          <w:lang w:eastAsia="en-GB"/>
        </w:rPr>
        <w:t xml:space="preserve">and 11% of submissions to the Competition Authority resulted in the launch of formal competition </w:t>
      </w:r>
      <w:r>
        <w:rPr>
          <w:noProof/>
          <w:szCs w:val="24"/>
          <w:lang w:eastAsia="en-GB"/>
        </w:rPr>
        <w:t>law infringement</w:t>
      </w:r>
      <w:r w:rsidRPr="006536D8">
        <w:rPr>
          <w:noProof/>
          <w:szCs w:val="24"/>
          <w:lang w:eastAsia="en-GB"/>
        </w:rPr>
        <w:t xml:space="preserve"> proceedings</w:t>
      </w:r>
      <w:r w:rsidRPr="006536D8">
        <w:rPr>
          <w:rStyle w:val="FootnoteReference"/>
          <w:noProof/>
          <w:szCs w:val="24"/>
          <w:lang w:eastAsia="en-GB"/>
        </w:rPr>
        <w:footnoteReference w:id="113"/>
      </w:r>
      <w:r w:rsidRPr="006536D8">
        <w:rPr>
          <w:noProof/>
          <w:szCs w:val="24"/>
          <w:lang w:eastAsia="en-GB"/>
        </w:rPr>
        <w:t xml:space="preserve">. </w:t>
      </w:r>
      <w:r>
        <w:rPr>
          <w:noProof/>
          <w:szCs w:val="24"/>
          <w:lang w:eastAsia="en-GB"/>
        </w:rPr>
        <w:t>A</w:t>
      </w:r>
      <w:r w:rsidRPr="006536D8">
        <w:rPr>
          <w:noProof/>
          <w:szCs w:val="24"/>
          <w:lang w:eastAsia="en-GB"/>
        </w:rPr>
        <w:t xml:space="preserve">n information-sharing exercise </w:t>
      </w:r>
      <w:r w:rsidRPr="00685AF0">
        <w:rPr>
          <w:noProof/>
          <w:szCs w:val="24"/>
          <w:lang w:eastAsia="en-GB"/>
        </w:rPr>
        <w:t xml:space="preserve">on whistleblowing </w:t>
      </w:r>
      <w:r w:rsidRPr="006536D8">
        <w:rPr>
          <w:noProof/>
          <w:szCs w:val="24"/>
          <w:lang w:eastAsia="en-GB"/>
        </w:rPr>
        <w:t>targeting the business sector</w:t>
      </w:r>
      <w:r>
        <w:rPr>
          <w:noProof/>
          <w:szCs w:val="24"/>
          <w:lang w:eastAsia="en-GB"/>
        </w:rPr>
        <w:t xml:space="preserve"> was implemented </w:t>
      </w:r>
      <w:r w:rsidRPr="006536D8">
        <w:rPr>
          <w:noProof/>
          <w:szCs w:val="24"/>
          <w:lang w:eastAsia="en-GB"/>
        </w:rPr>
        <w:t>in partnership with the Hungarian Chamber of Commerce and Industry</w:t>
      </w:r>
      <w:r w:rsidRPr="006536D8">
        <w:rPr>
          <w:rStyle w:val="FootnoteReference"/>
          <w:noProof/>
          <w:szCs w:val="24"/>
          <w:lang w:eastAsia="en-GB"/>
        </w:rPr>
        <w:footnoteReference w:id="114"/>
      </w:r>
      <w:r w:rsidRPr="006536D8">
        <w:rPr>
          <w:noProof/>
          <w:szCs w:val="24"/>
          <w:lang w:eastAsia="en-GB"/>
        </w:rPr>
        <w:t xml:space="preserve">. </w:t>
      </w:r>
      <w:r>
        <w:rPr>
          <w:noProof/>
          <w:szCs w:val="24"/>
          <w:lang w:eastAsia="en-GB"/>
        </w:rPr>
        <w:t>C</w:t>
      </w:r>
      <w:r w:rsidR="00D46895">
        <w:rPr>
          <w:noProof/>
          <w:szCs w:val="24"/>
          <w:lang w:eastAsia="en-GB"/>
        </w:rPr>
        <w:t>SO</w:t>
      </w:r>
      <w:r>
        <w:rPr>
          <w:noProof/>
          <w:szCs w:val="24"/>
          <w:lang w:eastAsia="en-GB"/>
        </w:rPr>
        <w:t>s</w:t>
      </w:r>
      <w:r w:rsidRPr="00BF3A46">
        <w:rPr>
          <w:noProof/>
          <w:szCs w:val="24"/>
          <w:lang w:eastAsia="en-GB"/>
        </w:rPr>
        <w:t xml:space="preserve"> </w:t>
      </w:r>
      <w:r>
        <w:rPr>
          <w:noProof/>
          <w:szCs w:val="24"/>
          <w:lang w:eastAsia="en-GB"/>
        </w:rPr>
        <w:t xml:space="preserve">continue to </w:t>
      </w:r>
      <w:r w:rsidRPr="00BF3A46">
        <w:rPr>
          <w:noProof/>
          <w:szCs w:val="24"/>
          <w:lang w:eastAsia="en-GB"/>
        </w:rPr>
        <w:t>express concern</w:t>
      </w:r>
      <w:r>
        <w:rPr>
          <w:noProof/>
          <w:szCs w:val="24"/>
          <w:lang w:eastAsia="en-GB"/>
        </w:rPr>
        <w:t>s</w:t>
      </w:r>
      <w:r w:rsidRPr="00BF3A46">
        <w:rPr>
          <w:noProof/>
          <w:szCs w:val="24"/>
          <w:lang w:eastAsia="en-GB"/>
        </w:rPr>
        <w:t xml:space="preserve"> that the separate regime for reports falling outside the Directive’s scope leaves potential whistleblowers with no or very weak protection</w:t>
      </w:r>
      <w:r w:rsidR="001F7C89">
        <w:rPr>
          <w:noProof/>
          <w:szCs w:val="24"/>
          <w:lang w:eastAsia="en-GB"/>
        </w:rPr>
        <w:t xml:space="preserve"> and that w</w:t>
      </w:r>
      <w:r w:rsidRPr="00EB795A">
        <w:rPr>
          <w:noProof/>
          <w:szCs w:val="24"/>
          <w:lang w:eastAsia="en-GB"/>
        </w:rPr>
        <w:t>histleblower reports disclosed to the media</w:t>
      </w:r>
      <w:r>
        <w:rPr>
          <w:noProof/>
          <w:szCs w:val="24"/>
          <w:lang w:eastAsia="en-GB"/>
        </w:rPr>
        <w:t xml:space="preserve"> </w:t>
      </w:r>
      <w:r w:rsidRPr="00EB795A">
        <w:rPr>
          <w:noProof/>
          <w:szCs w:val="24"/>
          <w:lang w:eastAsia="en-GB"/>
        </w:rPr>
        <w:t>are</w:t>
      </w:r>
      <w:r>
        <w:rPr>
          <w:noProof/>
          <w:szCs w:val="24"/>
          <w:lang w:eastAsia="en-GB"/>
        </w:rPr>
        <w:t xml:space="preserve"> still</w:t>
      </w:r>
      <w:r w:rsidRPr="00EB795A">
        <w:rPr>
          <w:noProof/>
          <w:szCs w:val="24"/>
          <w:lang w:eastAsia="en-GB"/>
        </w:rPr>
        <w:t xml:space="preserve"> left without protection</w:t>
      </w:r>
      <w:bookmarkStart w:id="4" w:name="_Hlk233832386"/>
      <w:r w:rsidR="005B3345">
        <w:rPr>
          <w:rStyle w:val="FootnoteReference"/>
          <w:noProof/>
          <w:szCs w:val="24"/>
          <w:lang w:eastAsia="en-GB"/>
        </w:rPr>
        <w:footnoteReference w:id="115"/>
      </w:r>
      <w:r w:rsidR="005B3345">
        <w:rPr>
          <w:noProof/>
          <w:szCs w:val="24"/>
          <w:lang w:eastAsia="en-GB"/>
        </w:rPr>
        <w:t>.</w:t>
      </w:r>
      <w:bookmarkEnd w:id="4"/>
    </w:p>
    <w:p w14:paraId="0BF1BED6" w14:textId="6A92E3EE" w:rsidR="00E660BC" w:rsidRDefault="00FC0AF3" w:rsidP="00846F4F">
      <w:pPr>
        <w:rPr>
          <w:noProof/>
          <w:szCs w:val="24"/>
          <w:lang w:eastAsia="en-GB"/>
        </w:rPr>
      </w:pPr>
      <w:r w:rsidRPr="008A6A1B">
        <w:rPr>
          <w:b/>
          <w:bCs/>
          <w:noProof/>
          <w:szCs w:val="24"/>
          <w:lang w:eastAsia="en-GB"/>
        </w:rPr>
        <w:t>Shortcomings related to the transparency of</w:t>
      </w:r>
      <w:r>
        <w:rPr>
          <w:b/>
          <w:bCs/>
          <w:noProof/>
          <w:szCs w:val="24"/>
          <w:lang w:eastAsia="en-GB"/>
        </w:rPr>
        <w:t xml:space="preserve"> </w:t>
      </w:r>
      <w:r w:rsidRPr="008A6A1B">
        <w:rPr>
          <w:b/>
          <w:bCs/>
          <w:noProof/>
          <w:szCs w:val="24"/>
          <w:lang w:eastAsia="en-GB"/>
        </w:rPr>
        <w:t>the financing of political parties and electoral campaigns remain</w:t>
      </w:r>
      <w:r w:rsidRPr="008A6A1B" w:rsidDel="003F35A7">
        <w:rPr>
          <w:b/>
          <w:noProof/>
          <w:szCs w:val="24"/>
          <w:lang w:eastAsia="en-GB"/>
        </w:rPr>
        <w:t>.</w:t>
      </w:r>
      <w:r w:rsidRPr="006536D8">
        <w:rPr>
          <w:noProof/>
          <w:szCs w:val="24"/>
          <w:lang w:eastAsia="en-GB"/>
        </w:rPr>
        <w:t xml:space="preserve"> In </w:t>
      </w:r>
      <w:r w:rsidRPr="004C39D7">
        <w:rPr>
          <w:noProof/>
          <w:szCs w:val="24"/>
          <w:lang w:eastAsia="en-GB"/>
        </w:rPr>
        <w:t>June</w:t>
      </w:r>
      <w:r w:rsidRPr="006536D8">
        <w:rPr>
          <w:noProof/>
          <w:szCs w:val="24"/>
          <w:lang w:eastAsia="en-GB"/>
        </w:rPr>
        <w:t xml:space="preserve"> 2025, legislative amendments resulted in the abolition of Hungary’s long-standing legal limit on campaign spending for parliamentary elections</w:t>
      </w:r>
      <w:r>
        <w:rPr>
          <w:rStyle w:val="FootnoteReference"/>
          <w:noProof/>
          <w:szCs w:val="24"/>
          <w:lang w:eastAsia="en-GB"/>
        </w:rPr>
        <w:footnoteReference w:id="116"/>
      </w:r>
      <w:r w:rsidRPr="006536D8">
        <w:rPr>
          <w:noProof/>
          <w:szCs w:val="24"/>
          <w:lang w:eastAsia="en-GB"/>
        </w:rPr>
        <w:t>. Challenges previously identified regarding political party and campaign</w:t>
      </w:r>
      <w:r w:rsidRPr="006536D8">
        <w:rPr>
          <w:noProof/>
        </w:rPr>
        <w:t xml:space="preserve"> </w:t>
      </w:r>
      <w:r w:rsidRPr="006536D8">
        <w:rPr>
          <w:noProof/>
          <w:szCs w:val="24"/>
          <w:lang w:eastAsia="en-GB"/>
        </w:rPr>
        <w:t>financing rules have not been addressed in the reporting period</w:t>
      </w:r>
      <w:r w:rsidRPr="006536D8">
        <w:rPr>
          <w:rStyle w:val="FootnoteReference"/>
          <w:noProof/>
          <w:szCs w:val="24"/>
          <w:lang w:eastAsia="en-GB"/>
        </w:rPr>
        <w:footnoteReference w:id="117"/>
      </w:r>
      <w:r w:rsidRPr="006536D8">
        <w:rPr>
          <w:noProof/>
          <w:szCs w:val="24"/>
          <w:lang w:eastAsia="en-GB"/>
        </w:rPr>
        <w:t xml:space="preserve">. Stakeholders </w:t>
      </w:r>
      <w:r>
        <w:rPr>
          <w:noProof/>
          <w:szCs w:val="24"/>
          <w:lang w:eastAsia="en-GB"/>
        </w:rPr>
        <w:t>report</w:t>
      </w:r>
      <w:r w:rsidR="00F131F2">
        <w:rPr>
          <w:noProof/>
          <w:szCs w:val="24"/>
          <w:lang w:eastAsia="en-GB"/>
        </w:rPr>
        <w:t>ed</w:t>
      </w:r>
      <w:r w:rsidRPr="006536D8">
        <w:rPr>
          <w:noProof/>
          <w:szCs w:val="24"/>
          <w:lang w:eastAsia="en-GB"/>
        </w:rPr>
        <w:t xml:space="preserve"> that state-funded information or </w:t>
      </w:r>
      <w:r>
        <w:rPr>
          <w:noProof/>
          <w:szCs w:val="24"/>
          <w:lang w:eastAsia="en-GB"/>
        </w:rPr>
        <w:t xml:space="preserve">national </w:t>
      </w:r>
      <w:r w:rsidRPr="006536D8">
        <w:rPr>
          <w:noProof/>
          <w:szCs w:val="24"/>
          <w:lang w:eastAsia="en-GB"/>
        </w:rPr>
        <w:t xml:space="preserve">consultation initiatives </w:t>
      </w:r>
      <w:r w:rsidR="00F131F2">
        <w:rPr>
          <w:noProof/>
          <w:szCs w:val="24"/>
          <w:lang w:eastAsia="en-GB"/>
        </w:rPr>
        <w:t>were</w:t>
      </w:r>
      <w:r w:rsidR="00F131F2" w:rsidRPr="006536D8">
        <w:rPr>
          <w:noProof/>
          <w:szCs w:val="24"/>
          <w:lang w:eastAsia="en-GB"/>
        </w:rPr>
        <w:t xml:space="preserve"> </w:t>
      </w:r>
      <w:r w:rsidRPr="006536D8">
        <w:rPr>
          <w:noProof/>
          <w:szCs w:val="24"/>
          <w:lang w:eastAsia="en-GB"/>
        </w:rPr>
        <w:t>used as a tool of electoral campaigning and that the involvement of third-party actors undermine</w:t>
      </w:r>
      <w:r w:rsidR="00F131F2">
        <w:rPr>
          <w:noProof/>
          <w:szCs w:val="24"/>
          <w:lang w:eastAsia="en-GB"/>
        </w:rPr>
        <w:t>d</w:t>
      </w:r>
      <w:r w:rsidRPr="006536D8">
        <w:rPr>
          <w:noProof/>
          <w:szCs w:val="24"/>
          <w:lang w:eastAsia="en-GB"/>
        </w:rPr>
        <w:t xml:space="preserve"> the transparency of campaign financing</w:t>
      </w:r>
      <w:r w:rsidRPr="006536D8">
        <w:rPr>
          <w:rStyle w:val="FootnoteReference"/>
          <w:noProof/>
          <w:szCs w:val="24"/>
          <w:lang w:eastAsia="en-GB"/>
        </w:rPr>
        <w:footnoteReference w:id="118"/>
      </w:r>
      <w:r w:rsidRPr="006536D8">
        <w:rPr>
          <w:noProof/>
          <w:szCs w:val="24"/>
          <w:lang w:eastAsia="en-GB"/>
        </w:rPr>
        <w:t xml:space="preserve">. </w:t>
      </w:r>
      <w:bookmarkStart w:id="5" w:name="_Hlk222756222"/>
      <w:r w:rsidRPr="006536D8">
        <w:rPr>
          <w:noProof/>
          <w:szCs w:val="24"/>
          <w:lang w:eastAsia="en-GB"/>
        </w:rPr>
        <w:t xml:space="preserve">A legislative amendment adopted in December 2025 aims to sanction </w:t>
      </w:r>
      <w:r>
        <w:rPr>
          <w:noProof/>
          <w:szCs w:val="24"/>
          <w:lang w:val="en-IE" w:eastAsia="en-GB"/>
        </w:rPr>
        <w:t>‘</w:t>
      </w:r>
      <w:r w:rsidRPr="006536D8">
        <w:rPr>
          <w:noProof/>
          <w:szCs w:val="24"/>
          <w:lang w:eastAsia="en-GB"/>
        </w:rPr>
        <w:t>proxy</w:t>
      </w:r>
      <w:r>
        <w:rPr>
          <w:noProof/>
          <w:szCs w:val="24"/>
          <w:lang w:eastAsia="en-GB"/>
        </w:rPr>
        <w:t>’</w:t>
      </w:r>
      <w:r w:rsidRPr="006536D8">
        <w:rPr>
          <w:noProof/>
          <w:szCs w:val="24"/>
          <w:lang w:eastAsia="en-GB"/>
        </w:rPr>
        <w:t xml:space="preserve"> campaigning, meaning activities indistinguishable from a party’s image or conducted under a party’s direction, only when it is financed, even in part, by foreign sources</w:t>
      </w:r>
      <w:bookmarkEnd w:id="5"/>
      <w:r w:rsidRPr="006536D8">
        <w:rPr>
          <w:rStyle w:val="FootnoteReference"/>
          <w:noProof/>
          <w:szCs w:val="24"/>
          <w:lang w:eastAsia="en-GB"/>
        </w:rPr>
        <w:footnoteReference w:id="119"/>
      </w:r>
      <w:r w:rsidRPr="006536D8">
        <w:rPr>
          <w:noProof/>
          <w:szCs w:val="24"/>
          <w:lang w:eastAsia="en-GB"/>
        </w:rPr>
        <w:t xml:space="preserve">. </w:t>
      </w:r>
      <w:r>
        <w:rPr>
          <w:noProof/>
          <w:szCs w:val="24"/>
          <w:lang w:eastAsia="en-GB"/>
        </w:rPr>
        <w:t>P</w:t>
      </w:r>
      <w:r w:rsidRPr="00D17CEA">
        <w:rPr>
          <w:noProof/>
          <w:szCs w:val="24"/>
          <w:lang w:eastAsia="en-GB"/>
        </w:rPr>
        <w:t xml:space="preserve">olitical parties </w:t>
      </w:r>
      <w:r>
        <w:rPr>
          <w:noProof/>
          <w:szCs w:val="24"/>
          <w:lang w:eastAsia="en-GB"/>
        </w:rPr>
        <w:t xml:space="preserve">continue to </w:t>
      </w:r>
      <w:r w:rsidRPr="00D17CEA">
        <w:rPr>
          <w:noProof/>
          <w:szCs w:val="24"/>
          <w:lang w:eastAsia="en-GB"/>
        </w:rPr>
        <w:t xml:space="preserve">submit </w:t>
      </w:r>
      <w:r>
        <w:rPr>
          <w:noProof/>
          <w:szCs w:val="24"/>
          <w:lang w:eastAsia="en-GB"/>
        </w:rPr>
        <w:t xml:space="preserve">their </w:t>
      </w:r>
      <w:r w:rsidRPr="00D17CEA">
        <w:rPr>
          <w:noProof/>
          <w:szCs w:val="24"/>
          <w:lang w:eastAsia="en-GB"/>
        </w:rPr>
        <w:t xml:space="preserve">annual accounts </w:t>
      </w:r>
      <w:r>
        <w:rPr>
          <w:noProof/>
          <w:szCs w:val="24"/>
          <w:lang w:eastAsia="en-GB"/>
        </w:rPr>
        <w:t>as required</w:t>
      </w:r>
      <w:r w:rsidRPr="00D17CEA">
        <w:rPr>
          <w:noProof/>
          <w:szCs w:val="24"/>
          <w:lang w:eastAsia="en-GB"/>
        </w:rPr>
        <w:t xml:space="preserve">. However, </w:t>
      </w:r>
      <w:r>
        <w:rPr>
          <w:noProof/>
          <w:szCs w:val="24"/>
          <w:lang w:eastAsia="en-GB"/>
        </w:rPr>
        <w:t xml:space="preserve">the </w:t>
      </w:r>
      <w:r w:rsidRPr="00D17CEA">
        <w:rPr>
          <w:noProof/>
          <w:szCs w:val="24"/>
          <w:lang w:eastAsia="en-GB"/>
        </w:rPr>
        <w:t xml:space="preserve">accessibility and searchability </w:t>
      </w:r>
      <w:r>
        <w:rPr>
          <w:noProof/>
          <w:szCs w:val="24"/>
          <w:lang w:eastAsia="en-GB"/>
        </w:rPr>
        <w:t xml:space="preserve">of </w:t>
      </w:r>
      <w:r w:rsidRPr="00D17CEA">
        <w:rPr>
          <w:noProof/>
          <w:szCs w:val="24"/>
          <w:lang w:eastAsia="en-GB"/>
        </w:rPr>
        <w:t xml:space="preserve">reports published in the Official Gazette </w:t>
      </w:r>
      <w:r>
        <w:rPr>
          <w:noProof/>
          <w:szCs w:val="24"/>
          <w:lang w:eastAsia="en-GB"/>
        </w:rPr>
        <w:t>is limited</w:t>
      </w:r>
      <w:r w:rsidRPr="00D17CEA">
        <w:rPr>
          <w:noProof/>
          <w:szCs w:val="24"/>
          <w:lang w:eastAsia="en-GB"/>
        </w:rPr>
        <w:t xml:space="preserve">. </w:t>
      </w:r>
      <w:r>
        <w:rPr>
          <w:noProof/>
          <w:szCs w:val="24"/>
          <w:lang w:eastAsia="en-GB"/>
        </w:rPr>
        <w:t>Moreover</w:t>
      </w:r>
      <w:r w:rsidRPr="00D17CEA">
        <w:rPr>
          <w:noProof/>
          <w:szCs w:val="24"/>
          <w:lang w:eastAsia="en-GB"/>
        </w:rPr>
        <w:t xml:space="preserve">, information on the </w:t>
      </w:r>
      <w:r>
        <w:rPr>
          <w:noProof/>
          <w:szCs w:val="24"/>
          <w:lang w:eastAsia="en-GB"/>
        </w:rPr>
        <w:t>results</w:t>
      </w:r>
      <w:r w:rsidRPr="00D17CEA">
        <w:rPr>
          <w:noProof/>
          <w:szCs w:val="24"/>
          <w:lang w:eastAsia="en-GB"/>
        </w:rPr>
        <w:t xml:space="preserve"> of audits, including </w:t>
      </w:r>
      <w:r>
        <w:rPr>
          <w:noProof/>
          <w:szCs w:val="24"/>
          <w:lang w:eastAsia="en-GB"/>
        </w:rPr>
        <w:t>any</w:t>
      </w:r>
      <w:r w:rsidRPr="00D17CEA">
        <w:rPr>
          <w:noProof/>
          <w:szCs w:val="24"/>
          <w:lang w:eastAsia="en-GB"/>
        </w:rPr>
        <w:t xml:space="preserve"> breaches</w:t>
      </w:r>
      <w:r>
        <w:rPr>
          <w:noProof/>
          <w:szCs w:val="24"/>
          <w:lang w:eastAsia="en-GB"/>
        </w:rPr>
        <w:t xml:space="preserve"> identified</w:t>
      </w:r>
      <w:r w:rsidRPr="00D17CEA">
        <w:rPr>
          <w:noProof/>
          <w:szCs w:val="24"/>
          <w:lang w:eastAsia="en-GB"/>
        </w:rPr>
        <w:t>, investigations conducted, or sanctions applied, is not systematically made available</w:t>
      </w:r>
      <w:r>
        <w:rPr>
          <w:rStyle w:val="FootnoteReference"/>
          <w:noProof/>
          <w:szCs w:val="24"/>
          <w:lang w:eastAsia="en-GB"/>
        </w:rPr>
        <w:footnoteReference w:id="120"/>
      </w:r>
      <w:r w:rsidRPr="00D17CEA">
        <w:rPr>
          <w:noProof/>
          <w:szCs w:val="24"/>
          <w:lang w:eastAsia="en-GB"/>
        </w:rPr>
        <w:t>.</w:t>
      </w:r>
      <w:r>
        <w:rPr>
          <w:noProof/>
          <w:szCs w:val="24"/>
          <w:lang w:eastAsia="en-GB"/>
        </w:rPr>
        <w:t xml:space="preserve"> </w:t>
      </w:r>
      <w:r w:rsidR="00C750EB">
        <w:rPr>
          <w:noProof/>
          <w:szCs w:val="24"/>
          <w:lang w:eastAsia="en-GB"/>
        </w:rPr>
        <w:t>In</w:t>
      </w:r>
      <w:r w:rsidR="00D94BF0" w:rsidRPr="00D94BF0">
        <w:rPr>
          <w:noProof/>
          <w:szCs w:val="24"/>
          <w:lang w:eastAsia="en-GB"/>
        </w:rPr>
        <w:t xml:space="preserve"> June 2026, </w:t>
      </w:r>
      <w:r w:rsidR="00487F55">
        <w:rPr>
          <w:noProof/>
          <w:szCs w:val="24"/>
          <w:lang w:eastAsia="en-GB"/>
        </w:rPr>
        <w:t>a legislative</w:t>
      </w:r>
      <w:r w:rsidR="00D94BF0" w:rsidRPr="00D94BF0">
        <w:rPr>
          <w:noProof/>
          <w:szCs w:val="24"/>
          <w:lang w:eastAsia="en-GB"/>
        </w:rPr>
        <w:t xml:space="preserve"> amendment</w:t>
      </w:r>
      <w:r w:rsidR="00487F55">
        <w:rPr>
          <w:noProof/>
          <w:szCs w:val="24"/>
          <w:lang w:eastAsia="en-GB"/>
        </w:rPr>
        <w:t xml:space="preserve"> </w:t>
      </w:r>
      <w:r w:rsidR="001B216C">
        <w:rPr>
          <w:noProof/>
          <w:szCs w:val="24"/>
          <w:lang w:eastAsia="en-GB"/>
        </w:rPr>
        <w:t>was adopted</w:t>
      </w:r>
      <w:r w:rsidR="00503BB1">
        <w:rPr>
          <w:noProof/>
          <w:szCs w:val="24"/>
          <w:lang w:eastAsia="en-GB"/>
        </w:rPr>
        <w:t xml:space="preserve"> under which</w:t>
      </w:r>
      <w:r w:rsidR="00D94BF0" w:rsidRPr="00D94BF0">
        <w:rPr>
          <w:noProof/>
          <w:szCs w:val="24"/>
          <w:lang w:eastAsia="en-GB"/>
        </w:rPr>
        <w:t xml:space="preserve"> parliamentary groups </w:t>
      </w:r>
      <w:r w:rsidR="00503BB1">
        <w:rPr>
          <w:noProof/>
          <w:szCs w:val="24"/>
          <w:lang w:eastAsia="en-GB"/>
        </w:rPr>
        <w:t>can no longer</w:t>
      </w:r>
      <w:r w:rsidR="00C804D3">
        <w:rPr>
          <w:noProof/>
          <w:szCs w:val="24"/>
          <w:lang w:eastAsia="en-GB"/>
        </w:rPr>
        <w:t xml:space="preserve"> </w:t>
      </w:r>
      <w:r w:rsidR="00D94BF0" w:rsidRPr="00D94BF0">
        <w:rPr>
          <w:noProof/>
          <w:szCs w:val="24"/>
          <w:lang w:eastAsia="en-GB"/>
        </w:rPr>
        <w:t>transfer their budget surpluses for the current year to political parties</w:t>
      </w:r>
      <w:r w:rsidR="00283432">
        <w:rPr>
          <w:rStyle w:val="FootnoteReference"/>
          <w:noProof/>
          <w:szCs w:val="24"/>
          <w:lang w:eastAsia="en-GB"/>
        </w:rPr>
        <w:footnoteReference w:id="121"/>
      </w:r>
      <w:r w:rsidR="00D94BF0" w:rsidRPr="00D94BF0">
        <w:rPr>
          <w:noProof/>
          <w:szCs w:val="24"/>
          <w:lang w:eastAsia="en-GB"/>
        </w:rPr>
        <w:t>.</w:t>
      </w:r>
      <w:r w:rsidR="00D53EA6">
        <w:rPr>
          <w:noProof/>
          <w:szCs w:val="24"/>
          <w:lang w:eastAsia="en-GB"/>
        </w:rPr>
        <w:t xml:space="preserve"> </w:t>
      </w:r>
      <w:r w:rsidRPr="006536D8">
        <w:rPr>
          <w:noProof/>
          <w:szCs w:val="24"/>
          <w:lang w:eastAsia="en-GB"/>
        </w:rPr>
        <w:t xml:space="preserve">Overall, concerns therefore remain as regards the transparency of political party and campaign financing. </w:t>
      </w:r>
    </w:p>
    <w:p w14:paraId="56FE039D" w14:textId="79A5ADFC" w:rsidR="009D18DC" w:rsidRDefault="003D1CB3" w:rsidP="00846F4F">
      <w:pPr>
        <w:rPr>
          <w:noProof/>
          <w:lang w:eastAsia="en-GB"/>
        </w:rPr>
      </w:pPr>
      <w:r w:rsidRPr="62A39AD8">
        <w:rPr>
          <w:b/>
          <w:noProof/>
          <w:lang w:eastAsia="en-GB"/>
        </w:rPr>
        <w:t>The omnibus law of June 2026</w:t>
      </w:r>
      <w:r>
        <w:rPr>
          <w:b/>
          <w:noProof/>
          <w:lang w:eastAsia="en-GB"/>
        </w:rPr>
        <w:t xml:space="preserve"> </w:t>
      </w:r>
      <w:r w:rsidR="00D23522">
        <w:rPr>
          <w:b/>
          <w:noProof/>
          <w:lang w:eastAsia="en-GB"/>
        </w:rPr>
        <w:t xml:space="preserve">addresses corruption risks in </w:t>
      </w:r>
      <w:r w:rsidR="009164CC" w:rsidRPr="009164CC">
        <w:rPr>
          <w:b/>
          <w:noProof/>
          <w:lang w:eastAsia="en-GB"/>
        </w:rPr>
        <w:t xml:space="preserve">public procurement procedures </w:t>
      </w:r>
      <w:r w:rsidR="00D23522">
        <w:rPr>
          <w:b/>
          <w:noProof/>
          <w:lang w:eastAsia="en-GB"/>
        </w:rPr>
        <w:t xml:space="preserve">and </w:t>
      </w:r>
      <w:r w:rsidR="00705FAD">
        <w:rPr>
          <w:b/>
          <w:noProof/>
          <w:lang w:eastAsia="en-GB"/>
        </w:rPr>
        <w:t xml:space="preserve">increases the transparency </w:t>
      </w:r>
      <w:r w:rsidR="00705FAD" w:rsidRPr="009164CC">
        <w:rPr>
          <w:b/>
          <w:noProof/>
          <w:lang w:eastAsia="en-GB"/>
        </w:rPr>
        <w:t>of</w:t>
      </w:r>
      <w:r w:rsidR="00D23522">
        <w:rPr>
          <w:b/>
          <w:noProof/>
          <w:lang w:eastAsia="en-GB"/>
        </w:rPr>
        <w:t xml:space="preserve"> private equity funds.</w:t>
      </w:r>
      <w:r w:rsidR="00FC0AF3" w:rsidRPr="571E7486">
        <w:rPr>
          <w:noProof/>
          <w:lang w:eastAsia="en-GB"/>
        </w:rPr>
        <w:t xml:space="preserve"> Businesses’ attitudes towards corruption in the EU show that </w:t>
      </w:r>
      <w:r w:rsidR="00FC0AF3" w:rsidRPr="00854AC1">
        <w:rPr>
          <w:noProof/>
          <w:lang w:eastAsia="en-GB"/>
        </w:rPr>
        <w:t>48%</w:t>
      </w:r>
      <w:r w:rsidR="00FC0AF3" w:rsidRPr="571E7486">
        <w:rPr>
          <w:noProof/>
          <w:lang w:eastAsia="en-GB"/>
        </w:rPr>
        <w:t xml:space="preserve"> of companies in Hungary (EU average </w:t>
      </w:r>
      <w:r w:rsidR="00FC0AF3" w:rsidRPr="00854AC1">
        <w:rPr>
          <w:noProof/>
          <w:lang w:eastAsia="en-GB"/>
        </w:rPr>
        <w:t>30%</w:t>
      </w:r>
      <w:r w:rsidR="00FC0AF3" w:rsidRPr="571E7486">
        <w:rPr>
          <w:noProof/>
          <w:lang w:eastAsia="en-GB"/>
        </w:rPr>
        <w:t>) think that corruption has prevented them from winning a public tender or a public procurement contract in practice in the last three years</w:t>
      </w:r>
      <w:r w:rsidR="00FC0AF3">
        <w:rPr>
          <w:rStyle w:val="FootnoteReference"/>
          <w:noProof/>
          <w:lang w:eastAsia="en-GB"/>
        </w:rPr>
        <w:footnoteReference w:id="122"/>
      </w:r>
      <w:r w:rsidR="00FC0AF3" w:rsidRPr="571E7486">
        <w:rPr>
          <w:noProof/>
          <w:lang w:eastAsia="en-GB"/>
        </w:rPr>
        <w:t>.</w:t>
      </w:r>
      <w:r w:rsidR="00FC0AF3" w:rsidRPr="001D47F9">
        <w:rPr>
          <w:noProof/>
        </w:rPr>
        <w:t xml:space="preserve"> </w:t>
      </w:r>
      <w:r w:rsidR="00FC0AF3" w:rsidRPr="571E7486">
        <w:rPr>
          <w:noProof/>
          <w:lang w:eastAsia="en-GB"/>
        </w:rPr>
        <w:t xml:space="preserve">Only </w:t>
      </w:r>
      <w:r w:rsidR="00FC0AF3">
        <w:rPr>
          <w:noProof/>
          <w:lang w:eastAsia="en-GB"/>
        </w:rPr>
        <w:t>17</w:t>
      </w:r>
      <w:r w:rsidR="00FC0AF3" w:rsidRPr="00854AC1">
        <w:rPr>
          <w:noProof/>
          <w:lang w:eastAsia="en-GB"/>
        </w:rPr>
        <w:t>%</w:t>
      </w:r>
      <w:r w:rsidR="00FC0AF3" w:rsidRPr="571E7486">
        <w:rPr>
          <w:noProof/>
          <w:lang w:eastAsia="en-GB"/>
        </w:rPr>
        <w:t xml:space="preserve"> of businesses perceive the level of independence of the public procurement review body (Public</w:t>
      </w:r>
      <w:r w:rsidR="00FC0AF3" w:rsidRPr="001D47F9">
        <w:rPr>
          <w:noProof/>
        </w:rPr>
        <w:t xml:space="preserve"> </w:t>
      </w:r>
      <w:r w:rsidR="00FC0AF3" w:rsidRPr="571E7486">
        <w:rPr>
          <w:noProof/>
          <w:lang w:eastAsia="en-GB"/>
        </w:rPr>
        <w:t>Procurement Arbitration Board) as very or fairly good</w:t>
      </w:r>
      <w:r w:rsidR="00FC0AF3">
        <w:rPr>
          <w:rStyle w:val="FootnoteReference"/>
          <w:noProof/>
          <w:lang w:eastAsia="en-GB"/>
        </w:rPr>
        <w:footnoteReference w:id="123"/>
      </w:r>
      <w:r w:rsidR="00FC0AF3" w:rsidRPr="571E7486">
        <w:rPr>
          <w:noProof/>
          <w:lang w:eastAsia="en-GB"/>
        </w:rPr>
        <w:t>.</w:t>
      </w:r>
      <w:r w:rsidR="00FC0AF3" w:rsidRPr="571E7486">
        <w:rPr>
          <w:noProof/>
        </w:rPr>
        <w:t xml:space="preserve"> T</w:t>
      </w:r>
      <w:r w:rsidR="00FC0AF3" w:rsidRPr="571E7486">
        <w:rPr>
          <w:noProof/>
          <w:lang w:eastAsia="en-GB"/>
        </w:rPr>
        <w:t xml:space="preserve">he Single Market and Competitiveness Scoreboard on access to public procurement in Hungary reports </w:t>
      </w:r>
      <w:r w:rsidR="00FC0AF3" w:rsidRPr="00854AC1">
        <w:rPr>
          <w:noProof/>
          <w:lang w:eastAsia="en-GB"/>
        </w:rPr>
        <w:t>24%</w:t>
      </w:r>
      <w:r w:rsidR="00FC0AF3" w:rsidRPr="571E7486">
        <w:rPr>
          <w:noProof/>
          <w:lang w:eastAsia="en-GB"/>
        </w:rPr>
        <w:t xml:space="preserve"> </w:t>
      </w:r>
      <w:r w:rsidR="00FC0AF3">
        <w:rPr>
          <w:noProof/>
          <w:lang w:eastAsia="en-GB"/>
        </w:rPr>
        <w:t xml:space="preserve">of single bids </w:t>
      </w:r>
      <w:r w:rsidR="00FC0AF3" w:rsidRPr="571E7486">
        <w:rPr>
          <w:noProof/>
          <w:lang w:eastAsia="en-GB"/>
        </w:rPr>
        <w:t>for 2025</w:t>
      </w:r>
      <w:r w:rsidR="00FC0AF3">
        <w:rPr>
          <w:noProof/>
          <w:lang w:eastAsia="en-GB"/>
        </w:rPr>
        <w:t xml:space="preserve"> </w:t>
      </w:r>
      <w:r w:rsidR="00FC0AF3" w:rsidRPr="571E7486">
        <w:rPr>
          <w:noProof/>
          <w:lang w:eastAsia="en-GB"/>
        </w:rPr>
        <w:t xml:space="preserve">(EU average </w:t>
      </w:r>
      <w:r w:rsidR="00FC0AF3" w:rsidRPr="008E1E38">
        <w:rPr>
          <w:noProof/>
          <w:lang w:eastAsia="en-GB"/>
        </w:rPr>
        <w:t>27%</w:t>
      </w:r>
      <w:r w:rsidR="00FC0AF3" w:rsidRPr="571E7486">
        <w:rPr>
          <w:noProof/>
          <w:lang w:eastAsia="en-GB"/>
        </w:rPr>
        <w:t>)</w:t>
      </w:r>
      <w:r w:rsidR="00FC0AF3" w:rsidRPr="571E7486">
        <w:rPr>
          <w:rStyle w:val="FootnoteReference"/>
          <w:noProof/>
          <w:lang w:eastAsia="en-GB"/>
        </w:rPr>
        <w:footnoteReference w:id="124"/>
      </w:r>
      <w:r w:rsidR="00FC0AF3" w:rsidRPr="571E7486">
        <w:rPr>
          <w:noProof/>
          <w:lang w:eastAsia="en-GB"/>
        </w:rPr>
        <w:t>.</w:t>
      </w:r>
      <w:r w:rsidR="00FC0AF3" w:rsidRPr="00FC1C25">
        <w:rPr>
          <w:noProof/>
        </w:rPr>
        <w:t xml:space="preserve"> </w:t>
      </w:r>
      <w:r w:rsidR="00FC0AF3">
        <w:rPr>
          <w:noProof/>
        </w:rPr>
        <w:t xml:space="preserve">At the same time, the </w:t>
      </w:r>
      <w:r w:rsidR="00FA2B6E">
        <w:rPr>
          <w:noProof/>
        </w:rPr>
        <w:t xml:space="preserve">share by </w:t>
      </w:r>
      <w:r w:rsidR="00FC0AF3">
        <w:rPr>
          <w:noProof/>
        </w:rPr>
        <w:t xml:space="preserve">contract value of single-bid public procurements </w:t>
      </w:r>
      <w:r w:rsidR="005A1C23">
        <w:rPr>
          <w:noProof/>
        </w:rPr>
        <w:t xml:space="preserve">conducted under national rules or </w:t>
      </w:r>
      <w:r w:rsidR="00AB231A">
        <w:rPr>
          <w:noProof/>
        </w:rPr>
        <w:t xml:space="preserve">financed from national resources </w:t>
      </w:r>
      <w:r w:rsidR="00FC0AF3">
        <w:rPr>
          <w:noProof/>
        </w:rPr>
        <w:t>has increased</w:t>
      </w:r>
      <w:r w:rsidR="00FC0AF3">
        <w:rPr>
          <w:rStyle w:val="FootnoteReference"/>
          <w:noProof/>
        </w:rPr>
        <w:footnoteReference w:id="125"/>
      </w:r>
      <w:r w:rsidR="00FC0AF3">
        <w:rPr>
          <w:noProof/>
        </w:rPr>
        <w:t>.</w:t>
      </w:r>
      <w:r w:rsidR="00584220">
        <w:rPr>
          <w:noProof/>
        </w:rPr>
        <w:t xml:space="preserve"> </w:t>
      </w:r>
      <w:r w:rsidR="00CA163F">
        <w:rPr>
          <w:noProof/>
        </w:rPr>
        <w:t xml:space="preserve">The omnibus law of June 2026 </w:t>
      </w:r>
      <w:r w:rsidR="008C04C2">
        <w:rPr>
          <w:noProof/>
        </w:rPr>
        <w:t xml:space="preserve">strengthens </w:t>
      </w:r>
      <w:r w:rsidR="009E12F2">
        <w:rPr>
          <w:noProof/>
        </w:rPr>
        <w:t>the</w:t>
      </w:r>
      <w:r w:rsidR="008C04C2">
        <w:rPr>
          <w:noProof/>
        </w:rPr>
        <w:t xml:space="preserve"> transparency o</w:t>
      </w:r>
      <w:r w:rsidR="00F676F2">
        <w:rPr>
          <w:noProof/>
        </w:rPr>
        <w:t>f public procurement</w:t>
      </w:r>
      <w:r w:rsidR="005D476C">
        <w:rPr>
          <w:noProof/>
        </w:rPr>
        <w:t xml:space="preserve"> </w:t>
      </w:r>
      <w:r w:rsidR="00FE3EF6">
        <w:rPr>
          <w:noProof/>
        </w:rPr>
        <w:t xml:space="preserve">procedures </w:t>
      </w:r>
      <w:r w:rsidR="005D476C">
        <w:rPr>
          <w:noProof/>
        </w:rPr>
        <w:t xml:space="preserve">and </w:t>
      </w:r>
      <w:r w:rsidR="00523E9E">
        <w:rPr>
          <w:noProof/>
        </w:rPr>
        <w:t>provides for the possible</w:t>
      </w:r>
      <w:r w:rsidR="00116896">
        <w:rPr>
          <w:noProof/>
        </w:rPr>
        <w:t xml:space="preserve"> inclusion of</w:t>
      </w:r>
      <w:r w:rsidR="00073719">
        <w:rPr>
          <w:noProof/>
        </w:rPr>
        <w:t xml:space="preserve"> </w:t>
      </w:r>
      <w:r w:rsidR="00FE3EF6">
        <w:rPr>
          <w:noProof/>
        </w:rPr>
        <w:t>anti-corruption conditions in procurement contracts</w:t>
      </w:r>
      <w:r w:rsidR="00F676F2">
        <w:rPr>
          <w:noProof/>
        </w:rPr>
        <w:t xml:space="preserve">. </w:t>
      </w:r>
      <w:r w:rsidR="00BE09B5">
        <w:rPr>
          <w:noProof/>
        </w:rPr>
        <w:t>It also</w:t>
      </w:r>
      <w:r w:rsidR="00CA163F">
        <w:rPr>
          <w:noProof/>
        </w:rPr>
        <w:t xml:space="preserve"> </w:t>
      </w:r>
      <w:r w:rsidR="009826A6">
        <w:rPr>
          <w:noProof/>
        </w:rPr>
        <w:t xml:space="preserve">enables the </w:t>
      </w:r>
      <w:r w:rsidR="00727E5A">
        <w:rPr>
          <w:noProof/>
        </w:rPr>
        <w:t>IA</w:t>
      </w:r>
      <w:r w:rsidR="009826A6">
        <w:rPr>
          <w:noProof/>
        </w:rPr>
        <w:t xml:space="preserve"> to i</w:t>
      </w:r>
      <w:r w:rsidR="00584220" w:rsidRPr="00584220">
        <w:rPr>
          <w:noProof/>
        </w:rPr>
        <w:t xml:space="preserve">nitiate proceedings before the Public Procurement Arbitration Board and to bring actions for failure to act against </w:t>
      </w:r>
      <w:r w:rsidR="008C04C2">
        <w:rPr>
          <w:noProof/>
        </w:rPr>
        <w:t>it</w:t>
      </w:r>
      <w:r w:rsidR="00584220" w:rsidRPr="00584220">
        <w:rPr>
          <w:noProof/>
        </w:rPr>
        <w:t>.</w:t>
      </w:r>
      <w:r w:rsidR="00FC0AF3">
        <w:rPr>
          <w:noProof/>
        </w:rPr>
        <w:t xml:space="preserve"> </w:t>
      </w:r>
      <w:r w:rsidR="0072690C">
        <w:rPr>
          <w:noProof/>
        </w:rPr>
        <w:t>In particular, the law clarifies</w:t>
      </w:r>
      <w:r w:rsidR="0072690C" w:rsidRPr="0072690C">
        <w:rPr>
          <w:noProof/>
        </w:rPr>
        <w:t xml:space="preserve"> the </w:t>
      </w:r>
      <w:r w:rsidR="00727E5A">
        <w:rPr>
          <w:noProof/>
        </w:rPr>
        <w:t>IA</w:t>
      </w:r>
      <w:r w:rsidR="0072690C" w:rsidRPr="0072690C">
        <w:rPr>
          <w:noProof/>
        </w:rPr>
        <w:t>’s power to act in respect of defence and security procurements and to challenge an exclusion from public procurement rules based on national security grounds</w:t>
      </w:r>
      <w:r w:rsidR="00F0604C">
        <w:rPr>
          <w:noProof/>
        </w:rPr>
        <w:t>.</w:t>
      </w:r>
      <w:r w:rsidR="00FC0AF3">
        <w:rPr>
          <w:noProof/>
        </w:rPr>
        <w:t xml:space="preserve"> Important constraints to competition in the public procurement market remain</w:t>
      </w:r>
      <w:r w:rsidR="00FC0AF3">
        <w:rPr>
          <w:rStyle w:val="FootnoteReference"/>
          <w:noProof/>
        </w:rPr>
        <w:footnoteReference w:id="126"/>
      </w:r>
      <w:r w:rsidR="00FC0AF3">
        <w:rPr>
          <w:noProof/>
        </w:rPr>
        <w:t xml:space="preserve">. </w:t>
      </w:r>
      <w:r w:rsidR="00FC0AF3" w:rsidRPr="571E7486">
        <w:rPr>
          <w:noProof/>
          <w:lang w:eastAsia="en-GB"/>
        </w:rPr>
        <w:t>Stakeholders also report that competition in public procurement has not improved in practice, as the largest tenders continue to be won by a limited number of economic actors</w:t>
      </w:r>
      <w:r w:rsidR="00FC0AF3">
        <w:rPr>
          <w:rStyle w:val="FootnoteReference"/>
          <w:noProof/>
          <w:lang w:eastAsia="en-GB"/>
        </w:rPr>
        <w:footnoteReference w:id="127"/>
      </w:r>
      <w:r w:rsidR="00FC0AF3" w:rsidRPr="571E7486">
        <w:rPr>
          <w:noProof/>
          <w:lang w:eastAsia="en-GB"/>
        </w:rPr>
        <w:t>. In addition, the share and volume of framework agreements rose substantially</w:t>
      </w:r>
      <w:r w:rsidR="00FC0AF3" w:rsidRPr="37CB35FC">
        <w:rPr>
          <w:rStyle w:val="FootnoteReference"/>
          <w:noProof/>
          <w:lang w:eastAsia="en-GB"/>
        </w:rPr>
        <w:footnoteReference w:id="128"/>
      </w:r>
      <w:r w:rsidR="00FC0AF3" w:rsidRPr="571E7486">
        <w:rPr>
          <w:noProof/>
          <w:lang w:eastAsia="en-GB"/>
        </w:rPr>
        <w:t>. These may limit competition, as a vast majority are concluded with one single market participant</w:t>
      </w:r>
      <w:r w:rsidR="00FC0AF3">
        <w:rPr>
          <w:rStyle w:val="FootnoteReference"/>
          <w:noProof/>
          <w:lang w:eastAsia="en-GB"/>
        </w:rPr>
        <w:footnoteReference w:id="129"/>
      </w:r>
      <w:r w:rsidR="00FC0AF3" w:rsidRPr="571E7486">
        <w:rPr>
          <w:noProof/>
          <w:lang w:eastAsia="en-GB"/>
        </w:rPr>
        <w:t xml:space="preserve">. </w:t>
      </w:r>
      <w:r w:rsidR="00FC0AF3" w:rsidRPr="005012A3">
        <w:rPr>
          <w:noProof/>
          <w:lang w:eastAsia="en-GB"/>
        </w:rPr>
        <w:t>The share of private equity funds involved in public procurement increased</w:t>
      </w:r>
      <w:r w:rsidR="00FC0AF3" w:rsidRPr="571E7486">
        <w:rPr>
          <w:noProof/>
          <w:lang w:eastAsia="en-GB"/>
        </w:rPr>
        <w:t xml:space="preserve"> (5</w:t>
      </w:r>
      <w:r w:rsidR="00FC0AF3" w:rsidRPr="00AF1A52">
        <w:rPr>
          <w:noProof/>
        </w:rPr>
        <w:t xml:space="preserve">% in case of </w:t>
      </w:r>
      <w:r w:rsidR="00FC0AF3">
        <w:rPr>
          <w:noProof/>
        </w:rPr>
        <w:t>all procurement and over</w:t>
      </w:r>
      <w:r w:rsidR="00FC0AF3" w:rsidRPr="00AF1A52">
        <w:rPr>
          <w:noProof/>
        </w:rPr>
        <w:t xml:space="preserve"> 9% in case of EU-funded </w:t>
      </w:r>
      <w:r w:rsidR="00FC0AF3">
        <w:rPr>
          <w:noProof/>
        </w:rPr>
        <w:t>procurements)</w:t>
      </w:r>
      <w:r w:rsidR="00FC0AF3" w:rsidRPr="571E7486">
        <w:rPr>
          <w:noProof/>
          <w:lang w:eastAsia="en-GB"/>
        </w:rPr>
        <w:t xml:space="preserve">. </w:t>
      </w:r>
      <w:r w:rsidR="00E96460">
        <w:rPr>
          <w:noProof/>
          <w:lang w:eastAsia="en-GB"/>
        </w:rPr>
        <w:t>In order to address risks of corruption and conflicts of interest associated with private equity funds, the omnibus law of June 2026 establishes</w:t>
      </w:r>
      <w:r w:rsidR="00E96460" w:rsidRPr="000E43E3">
        <w:rPr>
          <w:noProof/>
          <w:lang w:eastAsia="en-GB"/>
        </w:rPr>
        <w:t xml:space="preserve"> stricter transparency </w:t>
      </w:r>
      <w:r w:rsidR="00E96460">
        <w:rPr>
          <w:noProof/>
          <w:lang w:eastAsia="en-GB"/>
        </w:rPr>
        <w:t xml:space="preserve">and due diligence </w:t>
      </w:r>
      <w:r w:rsidR="00E96460" w:rsidRPr="000E43E3">
        <w:rPr>
          <w:noProof/>
          <w:lang w:eastAsia="en-GB"/>
        </w:rPr>
        <w:t>requirements</w:t>
      </w:r>
      <w:r w:rsidR="00E96460">
        <w:rPr>
          <w:rStyle w:val="FootnoteReference"/>
          <w:noProof/>
          <w:lang w:eastAsia="en-GB"/>
        </w:rPr>
        <w:footnoteReference w:id="130"/>
      </w:r>
      <w:r w:rsidR="00E96460" w:rsidRPr="62A39AD8">
        <w:rPr>
          <w:noProof/>
          <w:lang w:eastAsia="en-GB"/>
        </w:rPr>
        <w:t>.</w:t>
      </w:r>
      <w:r w:rsidR="00A21B69">
        <w:rPr>
          <w:noProof/>
          <w:lang w:eastAsia="en-GB"/>
        </w:rPr>
        <w:t xml:space="preserve"> </w:t>
      </w:r>
      <w:r w:rsidR="00FC0AF3" w:rsidRPr="571E7486">
        <w:rPr>
          <w:noProof/>
          <w:lang w:eastAsia="en-GB"/>
        </w:rPr>
        <w:t>EU rules on public procurement and concessions have not been respected in high-value projects related to motorways</w:t>
      </w:r>
      <w:r w:rsidR="00FC0AF3" w:rsidRPr="571E7486">
        <w:rPr>
          <w:rStyle w:val="FootnoteReference"/>
          <w:noProof/>
          <w:lang w:eastAsia="fr-FR"/>
        </w:rPr>
        <w:footnoteReference w:id="131"/>
      </w:r>
      <w:r w:rsidR="00FC0AF3" w:rsidRPr="571E7486">
        <w:rPr>
          <w:noProof/>
          <w:lang w:eastAsia="en-GB"/>
        </w:rPr>
        <w:t xml:space="preserve"> and waste management</w:t>
      </w:r>
      <w:r w:rsidR="00FC0AF3" w:rsidRPr="571E7486">
        <w:rPr>
          <w:rStyle w:val="FootnoteReference"/>
          <w:noProof/>
          <w:lang w:eastAsia="fr-FR"/>
        </w:rPr>
        <w:footnoteReference w:id="132"/>
      </w:r>
      <w:r w:rsidR="00FC0AF3" w:rsidRPr="571E7486">
        <w:rPr>
          <w:noProof/>
          <w:lang w:eastAsia="en-GB"/>
        </w:rPr>
        <w:t>. In 2025, the visibility of notices, guidance and other documents on public procurement in the Electronic Public Procurement System was improved, and the indicators of the performance measurement framework were refined further</w:t>
      </w:r>
      <w:r w:rsidR="00FC0AF3">
        <w:rPr>
          <w:rStyle w:val="FootnoteReference"/>
          <w:noProof/>
          <w:lang w:eastAsia="en-GB"/>
        </w:rPr>
        <w:footnoteReference w:id="133"/>
      </w:r>
      <w:r w:rsidR="00FC0AF3" w:rsidRPr="571E7486">
        <w:rPr>
          <w:noProof/>
          <w:lang w:eastAsia="en-GB"/>
        </w:rPr>
        <w:t>. State administrative bodies have assessed the integrity and corruption risks related to their operations. The most common types of corruption risk relate to administrative and regulatory proceedings, customer relations and data management activities</w:t>
      </w:r>
      <w:r w:rsidR="00FC0AF3">
        <w:rPr>
          <w:rStyle w:val="FootnoteReference"/>
          <w:noProof/>
          <w:lang w:eastAsia="en-GB"/>
        </w:rPr>
        <w:footnoteReference w:id="134"/>
      </w:r>
      <w:r w:rsidR="00FC0AF3" w:rsidRPr="571E7486">
        <w:rPr>
          <w:noProof/>
          <w:lang w:eastAsia="en-GB"/>
        </w:rPr>
        <w:t>.</w:t>
      </w:r>
      <w:r w:rsidR="00FC0AF3" w:rsidRPr="008607A1">
        <w:rPr>
          <w:noProof/>
          <w:lang w:eastAsia="en-GB"/>
        </w:rPr>
        <w:t xml:space="preserve"> </w:t>
      </w:r>
      <w:r w:rsidR="00FC0AF3">
        <w:rPr>
          <w:noProof/>
          <w:lang w:eastAsia="en-GB"/>
        </w:rPr>
        <w:t>Other</w:t>
      </w:r>
      <w:r w:rsidR="00FC0AF3" w:rsidRPr="571E7486">
        <w:rPr>
          <w:noProof/>
          <w:lang w:eastAsia="en-GB"/>
        </w:rPr>
        <w:t xml:space="preserve"> areas exposed to corruption risks include official licensing and official inspection</w:t>
      </w:r>
      <w:r w:rsidR="00FC0AF3">
        <w:rPr>
          <w:rStyle w:val="FootnoteReference"/>
          <w:noProof/>
          <w:lang w:eastAsia="en-GB"/>
        </w:rPr>
        <w:footnoteReference w:id="135"/>
      </w:r>
      <w:r w:rsidR="00FC0AF3" w:rsidRPr="571E7486">
        <w:rPr>
          <w:noProof/>
          <w:lang w:eastAsia="en-GB"/>
        </w:rPr>
        <w:t>. As regards regimes for issuing of official permits, the designation of projects as being of ‘strategic importance for the national economy’ allows to circumvent standard procedures</w:t>
      </w:r>
      <w:r w:rsidR="00FC0AF3" w:rsidRPr="37CB35FC">
        <w:rPr>
          <w:rStyle w:val="FootnoteReference"/>
          <w:noProof/>
          <w:lang w:eastAsia="en-GB"/>
        </w:rPr>
        <w:footnoteReference w:id="136"/>
      </w:r>
      <w:r w:rsidR="00FC0AF3" w:rsidRPr="571E7486">
        <w:rPr>
          <w:noProof/>
          <w:lang w:eastAsia="en-GB"/>
        </w:rPr>
        <w:t>. This increases the opacity of the permitting process and accordingly corruption risks.</w:t>
      </w:r>
      <w:r w:rsidR="00FC0AF3">
        <w:rPr>
          <w:noProof/>
          <w:lang w:eastAsia="en-GB"/>
        </w:rPr>
        <w:t xml:space="preserve"> </w:t>
      </w:r>
    </w:p>
    <w:p w14:paraId="4091A5AC" w14:textId="77777777" w:rsidR="00FC0AF3" w:rsidRPr="0067250D" w:rsidRDefault="00FC0AF3" w:rsidP="00C54309">
      <w:pPr>
        <w:pStyle w:val="Heading1"/>
        <w:numPr>
          <w:ilvl w:val="0"/>
          <w:numId w:val="33"/>
        </w:numPr>
        <w:spacing w:before="0"/>
        <w:rPr>
          <w:noProof/>
          <w:u w:val="single"/>
        </w:rPr>
      </w:pPr>
      <w:r w:rsidRPr="0067250D">
        <w:rPr>
          <w:noProof/>
          <w:u w:val="single"/>
        </w:rPr>
        <w:t xml:space="preserve">Media Pluralism and Media Freedom </w:t>
      </w:r>
    </w:p>
    <w:p w14:paraId="072E73DE" w14:textId="3EF07A31" w:rsidR="003045BD" w:rsidRPr="00F23164" w:rsidRDefault="003045BD" w:rsidP="00B151FA">
      <w:pPr>
        <w:rPr>
          <w:noProof/>
          <w:lang w:eastAsia="fr-FR"/>
        </w:rPr>
      </w:pPr>
      <w:r w:rsidRPr="00B151FA">
        <w:rPr>
          <w:b/>
          <w:bCs/>
          <w:noProof/>
          <w:lang w:eastAsia="fr-FR"/>
        </w:rPr>
        <w:t>Amendments to the Media Act have introduced reforms to the Hungarian media regulator</w:t>
      </w:r>
      <w:r w:rsidRPr="08375EB0">
        <w:rPr>
          <w:rStyle w:val="FootnoteReference"/>
          <w:b/>
          <w:bCs/>
          <w:noProof/>
          <w:lang w:eastAsia="fr-FR"/>
        </w:rPr>
        <w:footnoteReference w:id="137"/>
      </w:r>
      <w:r w:rsidRPr="00B151FA">
        <w:rPr>
          <w:b/>
          <w:bCs/>
          <w:noProof/>
          <w:lang w:eastAsia="fr-FR"/>
        </w:rPr>
        <w:t>.</w:t>
      </w:r>
      <w:r w:rsidRPr="00B151FA">
        <w:rPr>
          <w:b/>
          <w:noProof/>
          <w:lang w:eastAsia="fr-FR"/>
        </w:rPr>
        <w:t xml:space="preserve"> </w:t>
      </w:r>
      <w:r w:rsidRPr="00AA0504">
        <w:rPr>
          <w:noProof/>
          <w:lang w:eastAsia="fr-FR"/>
        </w:rPr>
        <w:t xml:space="preserve">By means of </w:t>
      </w:r>
      <w:r w:rsidRPr="00B151FA">
        <w:rPr>
          <w:rStyle w:val="Bodytext1"/>
          <w:bCs/>
          <w:noProof/>
          <w:color w:val="1E1E1E"/>
          <w:sz w:val="24"/>
          <w:szCs w:val="24"/>
        </w:rPr>
        <w:t>an Act, adopted in June 2026, which amends the 2010 Media Act and other related acts</w:t>
      </w:r>
      <w:r>
        <w:rPr>
          <w:rStyle w:val="FootnoteReference"/>
          <w:bCs/>
          <w:noProof/>
          <w:color w:val="1E1E1E"/>
          <w:szCs w:val="24"/>
        </w:rPr>
        <w:footnoteReference w:id="138"/>
      </w:r>
      <w:r w:rsidRPr="00B151FA">
        <w:rPr>
          <w:rStyle w:val="Bodytext1"/>
          <w:bCs/>
          <w:noProof/>
          <w:color w:val="1E1E1E"/>
          <w:sz w:val="24"/>
          <w:szCs w:val="24"/>
        </w:rPr>
        <w:t>, the term of office of the President and members of the Media Council have been terminated.</w:t>
      </w:r>
      <w:r>
        <w:rPr>
          <w:noProof/>
          <w:lang w:eastAsia="fr-FR"/>
        </w:rPr>
        <w:t xml:space="preserve"> The legislation introduces new rules in relation to the competences, tasks and roles of the Media Authority, its Media Council, its President, Vice-Presidents and its Office, and establishes new</w:t>
      </w:r>
      <w:r w:rsidRPr="08375EB0">
        <w:rPr>
          <w:noProof/>
          <w:lang w:eastAsia="fr-FR"/>
        </w:rPr>
        <w:t xml:space="preserve"> criteria for the </w:t>
      </w:r>
      <w:r>
        <w:rPr>
          <w:noProof/>
          <w:lang w:eastAsia="fr-FR"/>
        </w:rPr>
        <w:t xml:space="preserve">nomination, </w:t>
      </w:r>
      <w:r w:rsidRPr="08375EB0">
        <w:rPr>
          <w:noProof/>
          <w:lang w:eastAsia="fr-FR"/>
        </w:rPr>
        <w:t>appointment and dismissal of</w:t>
      </w:r>
      <w:r>
        <w:rPr>
          <w:noProof/>
          <w:lang w:eastAsia="fr-FR"/>
        </w:rPr>
        <w:t xml:space="preserve"> all relevant office holders within these structures. Furthermore, the new rules reform the rules regulating the salaries of these office holders and the financing regime of the Media Authority. </w:t>
      </w:r>
      <w:r w:rsidRPr="00AA0504">
        <w:rPr>
          <w:noProof/>
          <w:lang w:eastAsia="fr-FR"/>
        </w:rPr>
        <w:t>Prior to the</w:t>
      </w:r>
      <w:r>
        <w:rPr>
          <w:noProof/>
          <w:lang w:eastAsia="fr-FR"/>
        </w:rPr>
        <w:t xml:space="preserve"> adoption of these reforms, </w:t>
      </w:r>
      <w:r w:rsidRPr="00F23164">
        <w:rPr>
          <w:noProof/>
          <w:lang w:eastAsia="fr-FR"/>
        </w:rPr>
        <w:t xml:space="preserve">the </w:t>
      </w:r>
      <w:r w:rsidRPr="08375EB0">
        <w:rPr>
          <w:noProof/>
          <w:lang w:eastAsia="fr-FR"/>
        </w:rPr>
        <w:t>2026</w:t>
      </w:r>
      <w:r w:rsidRPr="00F23164">
        <w:rPr>
          <w:noProof/>
          <w:lang w:eastAsia="fr-FR"/>
        </w:rPr>
        <w:t xml:space="preserve"> Media Pluralism Monitor (MPM) </w:t>
      </w:r>
      <w:r w:rsidRPr="08375EB0">
        <w:rPr>
          <w:noProof/>
          <w:lang w:eastAsia="fr-FR"/>
        </w:rPr>
        <w:t>con</w:t>
      </w:r>
      <w:r>
        <w:rPr>
          <w:noProof/>
          <w:lang w:eastAsia="fr-FR"/>
        </w:rPr>
        <w:t xml:space="preserve">sidered </w:t>
      </w:r>
      <w:r w:rsidRPr="08375EB0">
        <w:rPr>
          <w:noProof/>
          <w:lang w:eastAsia="fr-FR"/>
        </w:rPr>
        <w:t>that the indicator relating to</w:t>
      </w:r>
      <w:r>
        <w:rPr>
          <w:noProof/>
          <w:lang w:eastAsia="fr-FR"/>
        </w:rPr>
        <w:t xml:space="preserve"> the</w:t>
      </w:r>
      <w:r w:rsidRPr="00F23164">
        <w:rPr>
          <w:noProof/>
          <w:lang w:eastAsia="fr-FR"/>
        </w:rPr>
        <w:t xml:space="preserve"> independence and effectiveness of the Media Authority</w:t>
      </w:r>
      <w:r>
        <w:rPr>
          <w:noProof/>
          <w:lang w:eastAsia="fr-FR"/>
        </w:rPr>
        <w:t xml:space="preserve"> was</w:t>
      </w:r>
      <w:r w:rsidRPr="00F23164">
        <w:rPr>
          <w:noProof/>
          <w:lang w:eastAsia="fr-FR"/>
        </w:rPr>
        <w:t xml:space="preserve"> an area presenting high risk</w:t>
      </w:r>
      <w:r>
        <w:rPr>
          <w:rStyle w:val="FootnoteReference"/>
          <w:noProof/>
          <w:lang w:eastAsia="fr-FR"/>
        </w:rPr>
        <w:footnoteReference w:id="139"/>
      </w:r>
      <w:r>
        <w:rPr>
          <w:noProof/>
          <w:lang w:eastAsia="fr-FR"/>
        </w:rPr>
        <w:t xml:space="preserve">. </w:t>
      </w:r>
      <w:r w:rsidRPr="006536D8">
        <w:rPr>
          <w:noProof/>
        </w:rPr>
        <w:t>On 2</w:t>
      </w:r>
      <w:r>
        <w:rPr>
          <w:noProof/>
        </w:rPr>
        <w:t>6</w:t>
      </w:r>
      <w:r w:rsidRPr="006536D8">
        <w:rPr>
          <w:noProof/>
        </w:rPr>
        <w:t xml:space="preserve"> </w:t>
      </w:r>
      <w:r>
        <w:rPr>
          <w:noProof/>
        </w:rPr>
        <w:t>February</w:t>
      </w:r>
      <w:r w:rsidRPr="006536D8">
        <w:rPr>
          <w:noProof/>
        </w:rPr>
        <w:t xml:space="preserve"> 2026, the </w:t>
      </w:r>
      <w:r>
        <w:rPr>
          <w:noProof/>
        </w:rPr>
        <w:t>Court of Justice</w:t>
      </w:r>
      <w:r w:rsidRPr="006536D8">
        <w:rPr>
          <w:noProof/>
        </w:rPr>
        <w:t xml:space="preserve"> ruled that</w:t>
      </w:r>
      <w:r>
        <w:rPr>
          <w:noProof/>
        </w:rPr>
        <w:t xml:space="preserve"> certain provisions of</w:t>
      </w:r>
      <w:r w:rsidRPr="006536D8">
        <w:rPr>
          <w:noProof/>
        </w:rPr>
        <w:t xml:space="preserve"> </w:t>
      </w:r>
      <w:r>
        <w:rPr>
          <w:noProof/>
        </w:rPr>
        <w:t xml:space="preserve">Hungary’s media law and the decision of the media regulator based thereon refusing renewal of radio station </w:t>
      </w:r>
      <w:r w:rsidRPr="00B151FA">
        <w:rPr>
          <w:i/>
          <w:iCs/>
          <w:noProof/>
        </w:rPr>
        <w:t>Klubrádió</w:t>
      </w:r>
      <w:r>
        <w:rPr>
          <w:noProof/>
        </w:rPr>
        <w:t>’s broadcasting licence, had failed to observe the principles of proportionality, transparency and good administration and had infringed freedom of expression and information enshrined in the EU Charter of Fundamental Rights</w:t>
      </w:r>
      <w:r>
        <w:rPr>
          <w:rStyle w:val="FootnoteReference"/>
          <w:noProof/>
        </w:rPr>
        <w:footnoteReference w:id="140"/>
      </w:r>
      <w:r>
        <w:rPr>
          <w:noProof/>
        </w:rPr>
        <w:t>.</w:t>
      </w:r>
      <w:r>
        <w:rPr>
          <w:noProof/>
          <w:lang w:eastAsia="fr-FR"/>
        </w:rPr>
        <w:t xml:space="preserve"> </w:t>
      </w:r>
      <w:r w:rsidRPr="00C068BA">
        <w:rPr>
          <w:noProof/>
          <w:lang w:eastAsia="fr-FR"/>
        </w:rPr>
        <w:t xml:space="preserve">In the light of the legislative steps taken with a view to implement the European Media Freedom Act, </w:t>
      </w:r>
      <w:r w:rsidR="008F18C4" w:rsidRPr="00C068BA">
        <w:rPr>
          <w:noProof/>
          <w:lang w:eastAsia="fr-FR"/>
        </w:rPr>
        <w:t>some</w:t>
      </w:r>
      <w:r w:rsidRPr="00C54309">
        <w:rPr>
          <w:noProof/>
          <w:lang w:eastAsia="fr-FR"/>
        </w:rPr>
        <w:t xml:space="preserve"> progress </w:t>
      </w:r>
      <w:r w:rsidRPr="00C068BA">
        <w:rPr>
          <w:noProof/>
          <w:lang w:eastAsia="fr-FR"/>
        </w:rPr>
        <w:t>has been made in this area</w:t>
      </w:r>
      <w:r>
        <w:rPr>
          <w:noProof/>
          <w:lang w:eastAsia="fr-FR"/>
        </w:rPr>
        <w:t>.</w:t>
      </w:r>
    </w:p>
    <w:p w14:paraId="0923C249" w14:textId="0A72DC09" w:rsidR="00FC0AF3" w:rsidRPr="00F23164" w:rsidRDefault="007A58FE" w:rsidP="00FC0AF3">
      <w:pPr>
        <w:rPr>
          <w:noProof/>
          <w:lang w:eastAsia="fr-FR"/>
        </w:rPr>
      </w:pPr>
      <w:r>
        <w:rPr>
          <w:b/>
          <w:noProof/>
          <w:lang w:eastAsia="fr-FR"/>
        </w:rPr>
        <w:t>T</w:t>
      </w:r>
      <w:r w:rsidR="00FC0AF3" w:rsidRPr="00AF00D2">
        <w:rPr>
          <w:b/>
          <w:noProof/>
          <w:lang w:eastAsia="fr-FR"/>
        </w:rPr>
        <w:t>ransparency and fairness in the distribution of state advertising</w:t>
      </w:r>
      <w:r>
        <w:rPr>
          <w:b/>
          <w:noProof/>
          <w:lang w:eastAsia="fr-FR"/>
        </w:rPr>
        <w:t xml:space="preserve"> has not been addressed yet</w:t>
      </w:r>
      <w:r w:rsidR="00FC0AF3">
        <w:rPr>
          <w:rStyle w:val="FootnoteReference"/>
          <w:b/>
          <w:noProof/>
          <w:lang w:eastAsia="fr-FR"/>
        </w:rPr>
        <w:footnoteReference w:id="141"/>
      </w:r>
      <w:r w:rsidR="00FC0AF3" w:rsidRPr="00AF00D2">
        <w:rPr>
          <w:b/>
          <w:noProof/>
          <w:lang w:eastAsia="fr-FR"/>
        </w:rPr>
        <w:t xml:space="preserve">. </w:t>
      </w:r>
      <w:r w:rsidR="00FC0AF3" w:rsidRPr="6680F80B">
        <w:rPr>
          <w:noProof/>
          <w:color w:val="000000" w:themeColor="text1"/>
        </w:rPr>
        <w:t xml:space="preserve">Hungary has not </w:t>
      </w:r>
      <w:r w:rsidR="00FC0AF3">
        <w:rPr>
          <w:noProof/>
          <w:color w:val="000000" w:themeColor="text1"/>
        </w:rPr>
        <w:t>adopted</w:t>
      </w:r>
      <w:r w:rsidR="00FC0AF3" w:rsidRPr="6680F80B">
        <w:rPr>
          <w:noProof/>
          <w:color w:val="000000" w:themeColor="text1"/>
        </w:rPr>
        <w:t xml:space="preserve"> any legislative or regulatory measure</w:t>
      </w:r>
      <w:r w:rsidR="00FC0AF3">
        <w:rPr>
          <w:noProof/>
          <w:color w:val="000000" w:themeColor="text1"/>
        </w:rPr>
        <w:t>s</w:t>
      </w:r>
      <w:r w:rsidR="00FC0AF3" w:rsidRPr="6680F80B">
        <w:rPr>
          <w:noProof/>
          <w:color w:val="000000" w:themeColor="text1"/>
        </w:rPr>
        <w:t xml:space="preserve"> </w:t>
      </w:r>
      <w:r w:rsidR="00FC0AF3">
        <w:rPr>
          <w:noProof/>
          <w:color w:val="000000" w:themeColor="text1"/>
        </w:rPr>
        <w:t>aimed at</w:t>
      </w:r>
      <w:r w:rsidR="00FC0AF3" w:rsidRPr="6680F80B">
        <w:rPr>
          <w:noProof/>
          <w:color w:val="000000" w:themeColor="text1"/>
        </w:rPr>
        <w:t xml:space="preserve"> ensur</w:t>
      </w:r>
      <w:r w:rsidR="00FC0AF3">
        <w:rPr>
          <w:noProof/>
          <w:color w:val="000000" w:themeColor="text1"/>
        </w:rPr>
        <w:t>ing</w:t>
      </w:r>
      <w:r w:rsidR="00FC0AF3" w:rsidRPr="6680F80B">
        <w:rPr>
          <w:noProof/>
          <w:color w:val="000000" w:themeColor="text1"/>
        </w:rPr>
        <w:t xml:space="preserve"> that </w:t>
      </w:r>
      <w:r w:rsidR="00FC0AF3">
        <w:rPr>
          <w:noProof/>
          <w:color w:val="000000" w:themeColor="text1"/>
        </w:rPr>
        <w:t xml:space="preserve">state </w:t>
      </w:r>
      <w:r w:rsidR="00FC0AF3" w:rsidRPr="6680F80B">
        <w:rPr>
          <w:noProof/>
          <w:color w:val="000000" w:themeColor="text1"/>
        </w:rPr>
        <w:t>advertising is allocated in accordance with transparent, objective, proportionate and non-discriminatory criteria made publicly available in advance.</w:t>
      </w:r>
      <w:r w:rsidR="00FC0AF3">
        <w:rPr>
          <w:noProof/>
          <w:color w:val="000000" w:themeColor="text1"/>
        </w:rPr>
        <w:t xml:space="preserve"> </w:t>
      </w:r>
      <w:r w:rsidR="00DF4160">
        <w:rPr>
          <w:noProof/>
          <w:color w:val="000000" w:themeColor="text1"/>
        </w:rPr>
        <w:t xml:space="preserve">During the </w:t>
      </w:r>
      <w:r w:rsidR="000C7612">
        <w:rPr>
          <w:noProof/>
          <w:color w:val="000000" w:themeColor="text1"/>
        </w:rPr>
        <w:t>reporting period</w:t>
      </w:r>
      <w:r w:rsidR="00FC0AF3">
        <w:rPr>
          <w:noProof/>
          <w:color w:val="000000" w:themeColor="text1"/>
        </w:rPr>
        <w:t xml:space="preserve">, </w:t>
      </w:r>
      <w:r w:rsidR="00FC0AF3">
        <w:rPr>
          <w:bCs/>
          <w:noProof/>
          <w:lang w:eastAsia="fr-FR"/>
        </w:rPr>
        <w:t>t</w:t>
      </w:r>
      <w:r w:rsidR="00FC0AF3" w:rsidRPr="00F23164">
        <w:rPr>
          <w:bCs/>
          <w:noProof/>
          <w:lang w:eastAsia="fr-FR"/>
        </w:rPr>
        <w:t>he</w:t>
      </w:r>
      <w:r w:rsidR="00FC0AF3" w:rsidRPr="00F23164">
        <w:rPr>
          <w:noProof/>
          <w:lang w:eastAsia="fr-FR"/>
        </w:rPr>
        <w:t xml:space="preserve"> State remain</w:t>
      </w:r>
      <w:r w:rsidR="000C7612">
        <w:rPr>
          <w:noProof/>
          <w:lang w:eastAsia="fr-FR"/>
        </w:rPr>
        <w:t>ed</w:t>
      </w:r>
      <w:r w:rsidR="00FC0AF3" w:rsidRPr="00F23164">
        <w:rPr>
          <w:noProof/>
          <w:lang w:eastAsia="fr-FR"/>
        </w:rPr>
        <w:t xml:space="preserve"> by far the most important player in the media advertising market</w:t>
      </w:r>
      <w:r w:rsidR="00FC0AF3">
        <w:rPr>
          <w:bCs/>
          <w:noProof/>
          <w:lang w:eastAsia="fr-FR"/>
        </w:rPr>
        <w:t>,</w:t>
      </w:r>
      <w:r w:rsidR="00FC0AF3" w:rsidRPr="00F23164">
        <w:rPr>
          <w:noProof/>
          <w:lang w:eastAsia="fr-FR"/>
        </w:rPr>
        <w:t xml:space="preserve"> </w:t>
      </w:r>
      <w:r w:rsidR="00FC0AF3" w:rsidRPr="004829A6">
        <w:rPr>
          <w:bCs/>
          <w:noProof/>
          <w:lang w:eastAsia="fr-FR"/>
        </w:rPr>
        <w:t>channelling</w:t>
      </w:r>
      <w:r w:rsidR="00FC0AF3" w:rsidRPr="00F23164">
        <w:rPr>
          <w:noProof/>
          <w:lang w:eastAsia="fr-FR"/>
        </w:rPr>
        <w:t xml:space="preserve"> significant state resources to pro-government media and increasing its </w:t>
      </w:r>
      <w:r w:rsidR="00FC0AF3" w:rsidRPr="00F23164">
        <w:rPr>
          <w:bCs/>
          <w:noProof/>
          <w:lang w:eastAsia="fr-FR"/>
        </w:rPr>
        <w:t>spending</w:t>
      </w:r>
      <w:r w:rsidR="00FC0AF3">
        <w:rPr>
          <w:bCs/>
          <w:noProof/>
          <w:lang w:eastAsia="fr-FR"/>
        </w:rPr>
        <w:t>.</w:t>
      </w:r>
      <w:r w:rsidR="00FC0AF3" w:rsidRPr="00F23164">
        <w:rPr>
          <w:bCs/>
          <w:noProof/>
          <w:lang w:eastAsia="fr-FR"/>
        </w:rPr>
        <w:t xml:space="preserve"> </w:t>
      </w:r>
      <w:r w:rsidR="00FC0AF3">
        <w:rPr>
          <w:bCs/>
          <w:noProof/>
          <w:lang w:eastAsia="fr-FR"/>
        </w:rPr>
        <w:t>As in the previous year, stakeholder media monitoring reports that s</w:t>
      </w:r>
      <w:r w:rsidR="00FC0AF3" w:rsidRPr="00F23164">
        <w:rPr>
          <w:bCs/>
          <w:noProof/>
          <w:lang w:eastAsia="fr-FR"/>
        </w:rPr>
        <w:t>tate</w:t>
      </w:r>
      <w:r w:rsidR="00FC0AF3" w:rsidRPr="00F23164">
        <w:rPr>
          <w:noProof/>
          <w:lang w:eastAsia="fr-FR"/>
        </w:rPr>
        <w:t xml:space="preserve"> advertising account</w:t>
      </w:r>
      <w:r w:rsidR="00FC0AF3">
        <w:rPr>
          <w:bCs/>
          <w:noProof/>
          <w:lang w:eastAsia="fr-FR"/>
        </w:rPr>
        <w:t>s</w:t>
      </w:r>
      <w:r w:rsidR="00FC0AF3" w:rsidRPr="00F23164">
        <w:rPr>
          <w:noProof/>
          <w:lang w:eastAsia="fr-FR"/>
        </w:rPr>
        <w:t xml:space="preserve"> for over 30% of the total advertising market</w:t>
      </w:r>
      <w:r w:rsidR="00FC0AF3">
        <w:rPr>
          <w:bCs/>
          <w:noProof/>
          <w:lang w:eastAsia="fr-FR"/>
        </w:rPr>
        <w:t xml:space="preserve"> and t</w:t>
      </w:r>
      <w:r w:rsidR="00FC0AF3" w:rsidRPr="0019083F">
        <w:rPr>
          <w:bCs/>
          <w:noProof/>
          <w:lang w:eastAsia="fr-FR"/>
        </w:rPr>
        <w:t>he Central European Press and Media Foundation (KESMA), a group of pro-government media outlets receiv</w:t>
      </w:r>
      <w:r w:rsidR="00FC0AF3">
        <w:rPr>
          <w:bCs/>
          <w:noProof/>
          <w:lang w:eastAsia="fr-FR"/>
        </w:rPr>
        <w:t>es</w:t>
      </w:r>
      <w:r w:rsidR="00FC0AF3" w:rsidRPr="0019083F">
        <w:rPr>
          <w:bCs/>
          <w:noProof/>
          <w:lang w:eastAsia="fr-FR"/>
        </w:rPr>
        <w:t xml:space="preserve"> up to 75%-80% of </w:t>
      </w:r>
      <w:r w:rsidR="00FC0AF3">
        <w:rPr>
          <w:bCs/>
          <w:noProof/>
          <w:lang w:eastAsia="fr-FR"/>
        </w:rPr>
        <w:t>its</w:t>
      </w:r>
      <w:r w:rsidR="00FC0AF3" w:rsidRPr="0019083F">
        <w:rPr>
          <w:bCs/>
          <w:noProof/>
          <w:lang w:eastAsia="fr-FR"/>
        </w:rPr>
        <w:t xml:space="preserve"> total revenue from state advertising</w:t>
      </w:r>
      <w:r w:rsidR="00FC0AF3">
        <w:rPr>
          <w:rStyle w:val="FootnoteReference"/>
          <w:bCs/>
          <w:noProof/>
          <w:lang w:eastAsia="fr-FR"/>
        </w:rPr>
        <w:footnoteReference w:id="142"/>
      </w:r>
      <w:r w:rsidR="00FC0AF3">
        <w:rPr>
          <w:bCs/>
          <w:noProof/>
          <w:lang w:eastAsia="fr-FR"/>
        </w:rPr>
        <w:t>.</w:t>
      </w:r>
      <w:r w:rsidR="00FC0AF3" w:rsidRPr="00F23164">
        <w:rPr>
          <w:bCs/>
          <w:noProof/>
          <w:lang w:eastAsia="fr-FR"/>
        </w:rPr>
        <w:t xml:space="preserve"> </w:t>
      </w:r>
      <w:r w:rsidR="00FC0AF3" w:rsidRPr="00F23164">
        <w:rPr>
          <w:noProof/>
          <w:lang w:eastAsia="fr-FR"/>
        </w:rPr>
        <w:t xml:space="preserve">The </w:t>
      </w:r>
      <w:r w:rsidR="00FC0AF3" w:rsidRPr="00F23164">
        <w:rPr>
          <w:bCs/>
          <w:noProof/>
          <w:lang w:eastAsia="fr-FR"/>
        </w:rPr>
        <w:t>202</w:t>
      </w:r>
      <w:r w:rsidR="00FC0AF3">
        <w:rPr>
          <w:bCs/>
          <w:noProof/>
          <w:lang w:eastAsia="fr-FR"/>
        </w:rPr>
        <w:t>6</w:t>
      </w:r>
      <w:r w:rsidR="00FC0AF3" w:rsidRPr="00F23164">
        <w:rPr>
          <w:noProof/>
          <w:lang w:eastAsia="fr-FR"/>
        </w:rPr>
        <w:t xml:space="preserve"> MPM</w:t>
      </w:r>
      <w:r w:rsidR="00FC0AF3">
        <w:rPr>
          <w:noProof/>
          <w:lang w:eastAsia="fr-FR"/>
        </w:rPr>
        <w:t xml:space="preserve"> confirms its previous analysis given that ‘t</w:t>
      </w:r>
      <w:r w:rsidR="00FC0AF3" w:rsidRPr="00625196">
        <w:rPr>
          <w:noProof/>
          <w:lang w:eastAsia="fr-FR"/>
        </w:rPr>
        <w:t>he unfair distribution of state advertising, including advertising from state-owned</w:t>
      </w:r>
      <w:r w:rsidR="00FC0AF3">
        <w:rPr>
          <w:noProof/>
          <w:lang w:eastAsia="fr-FR"/>
        </w:rPr>
        <w:t xml:space="preserve"> </w:t>
      </w:r>
      <w:r w:rsidR="00FC0AF3" w:rsidRPr="00625196">
        <w:rPr>
          <w:noProof/>
          <w:lang w:eastAsia="fr-FR"/>
        </w:rPr>
        <w:t xml:space="preserve">companies, still </w:t>
      </w:r>
      <w:r w:rsidR="00FC0AF3" w:rsidRPr="00CE0B4D">
        <w:rPr>
          <w:noProof/>
          <w:lang w:eastAsia="fr-FR"/>
        </w:rPr>
        <w:t>prevails’</w:t>
      </w:r>
      <w:r w:rsidR="00FC0AF3" w:rsidRPr="00CE0B4D">
        <w:rPr>
          <w:rStyle w:val="FootnoteReference"/>
          <w:bCs/>
          <w:noProof/>
          <w:lang w:eastAsia="fr-FR"/>
        </w:rPr>
        <w:footnoteReference w:id="143"/>
      </w:r>
      <w:r w:rsidR="00FC0AF3" w:rsidRPr="00CE0B4D">
        <w:rPr>
          <w:bCs/>
          <w:noProof/>
          <w:lang w:eastAsia="fr-FR"/>
        </w:rPr>
        <w:t>.</w:t>
      </w:r>
      <w:r w:rsidR="00FC0AF3" w:rsidRPr="00CE0B4D">
        <w:rPr>
          <w:noProof/>
          <w:lang w:eastAsia="fr-FR"/>
        </w:rPr>
        <w:t xml:space="preserve"> </w:t>
      </w:r>
      <w:r w:rsidR="00475709" w:rsidRPr="00CE0B4D">
        <w:rPr>
          <w:noProof/>
          <w:lang w:eastAsia="fr-FR"/>
        </w:rPr>
        <w:t>Given that no measures have been taken to improve fairness in the</w:t>
      </w:r>
      <w:r w:rsidR="00475709" w:rsidRPr="00F23164">
        <w:rPr>
          <w:noProof/>
          <w:lang w:eastAsia="fr-FR"/>
        </w:rPr>
        <w:t xml:space="preserve"> distribution of state advertising, there has been no progress </w:t>
      </w:r>
      <w:r w:rsidR="009707BE">
        <w:rPr>
          <w:noProof/>
          <w:lang w:eastAsia="fr-FR"/>
        </w:rPr>
        <w:t xml:space="preserve">yet </w:t>
      </w:r>
      <w:r w:rsidR="00475709" w:rsidRPr="00F23164">
        <w:rPr>
          <w:noProof/>
          <w:lang w:eastAsia="fr-FR"/>
        </w:rPr>
        <w:t>as regards the recommendations made in previous years.</w:t>
      </w:r>
      <w:r w:rsidR="00FC0AF3" w:rsidRPr="00F23164">
        <w:rPr>
          <w:noProof/>
          <w:lang w:eastAsia="fr-FR"/>
        </w:rPr>
        <w:t xml:space="preserve"> </w:t>
      </w:r>
    </w:p>
    <w:p w14:paraId="3BE10D70" w14:textId="3717AD66" w:rsidR="00FC0AF3" w:rsidRDefault="009F713E" w:rsidP="00FC0AF3">
      <w:pPr>
        <w:rPr>
          <w:bCs/>
          <w:noProof/>
          <w:lang w:eastAsia="fr-FR"/>
        </w:rPr>
      </w:pPr>
      <w:r w:rsidRPr="00FB6E3F">
        <w:rPr>
          <w:b/>
          <w:noProof/>
          <w:lang w:eastAsia="fr-FR"/>
        </w:rPr>
        <w:t>Transparency in the ownership structure of media companies is not regulated by specific provisions.</w:t>
      </w:r>
      <w:r w:rsidR="00FC0AF3" w:rsidRPr="00FB6E3F">
        <w:rPr>
          <w:b/>
          <w:noProof/>
          <w:lang w:eastAsia="fr-FR"/>
        </w:rPr>
        <w:t xml:space="preserve"> </w:t>
      </w:r>
      <w:r w:rsidR="00FC0AF3" w:rsidRPr="00F23164">
        <w:rPr>
          <w:noProof/>
          <w:lang w:eastAsia="fr-FR"/>
        </w:rPr>
        <w:t xml:space="preserve">Section 41 of the Media Act mandates the NMHH to maintain registers on media service providers, but these registers </w:t>
      </w:r>
      <w:r w:rsidR="00FC0AF3" w:rsidRPr="00F23164">
        <w:rPr>
          <w:bCs/>
          <w:noProof/>
          <w:lang w:eastAsia="fr-FR"/>
        </w:rPr>
        <w:t>contain</w:t>
      </w:r>
      <w:r w:rsidR="00FC0AF3">
        <w:rPr>
          <w:bCs/>
          <w:noProof/>
          <w:lang w:eastAsia="fr-FR"/>
        </w:rPr>
        <w:t xml:space="preserve"> no</w:t>
      </w:r>
      <w:r w:rsidR="00FC0AF3" w:rsidRPr="00F23164">
        <w:rPr>
          <w:noProof/>
          <w:lang w:eastAsia="fr-FR"/>
        </w:rPr>
        <w:t xml:space="preserve"> information on ownership or beneficial ownership of these companies. Direct ownership information is available via the business register. MPM</w:t>
      </w:r>
      <w:r w:rsidR="00FC0AF3">
        <w:rPr>
          <w:noProof/>
          <w:lang w:eastAsia="fr-FR"/>
        </w:rPr>
        <w:t xml:space="preserve"> 2026 has raised its risk level for this area from</w:t>
      </w:r>
      <w:r w:rsidR="00FC0AF3" w:rsidRPr="00F23164">
        <w:rPr>
          <w:noProof/>
          <w:lang w:eastAsia="fr-FR"/>
        </w:rPr>
        <w:t xml:space="preserve"> high</w:t>
      </w:r>
      <w:r w:rsidR="00FC0AF3">
        <w:rPr>
          <w:noProof/>
          <w:lang w:eastAsia="fr-FR"/>
        </w:rPr>
        <w:t xml:space="preserve"> to very high-</w:t>
      </w:r>
      <w:r w:rsidR="00FC0AF3" w:rsidRPr="00F23164">
        <w:rPr>
          <w:noProof/>
          <w:lang w:eastAsia="fr-FR"/>
        </w:rPr>
        <w:t>risk</w:t>
      </w:r>
      <w:r w:rsidR="00FC0AF3">
        <w:rPr>
          <w:bCs/>
          <w:noProof/>
          <w:lang w:eastAsia="fr-FR"/>
        </w:rPr>
        <w:t xml:space="preserve"> given that ‘t</w:t>
      </w:r>
      <w:r w:rsidR="00FC0AF3" w:rsidRPr="0075732D">
        <w:rPr>
          <w:bCs/>
          <w:noProof/>
          <w:lang w:eastAsia="fr-FR"/>
        </w:rPr>
        <w:t>here are no detailed</w:t>
      </w:r>
      <w:r w:rsidR="00FC0AF3">
        <w:rPr>
          <w:bCs/>
          <w:noProof/>
          <w:lang w:eastAsia="fr-FR"/>
        </w:rPr>
        <w:t xml:space="preserve"> </w:t>
      </w:r>
      <w:r w:rsidR="00FC0AF3" w:rsidRPr="0075732D">
        <w:rPr>
          <w:bCs/>
          <w:noProof/>
          <w:lang w:eastAsia="fr-FR"/>
        </w:rPr>
        <w:t>transparency rules requiring the disclosure of media companies</w:t>
      </w:r>
      <w:r w:rsidR="00FC0AF3">
        <w:rPr>
          <w:bCs/>
          <w:noProof/>
          <w:lang w:eastAsia="fr-FR"/>
        </w:rPr>
        <w:t>’</w:t>
      </w:r>
      <w:r w:rsidR="00FC0AF3" w:rsidRPr="0075732D">
        <w:rPr>
          <w:bCs/>
          <w:noProof/>
          <w:lang w:eastAsia="fr-FR"/>
        </w:rPr>
        <w:t xml:space="preserve"> ownership structures</w:t>
      </w:r>
      <w:r w:rsidR="00FC0AF3">
        <w:rPr>
          <w:bCs/>
          <w:noProof/>
          <w:lang w:eastAsia="fr-FR"/>
        </w:rPr>
        <w:t>’ and</w:t>
      </w:r>
      <w:r w:rsidR="00FC0AF3" w:rsidRPr="0075732D">
        <w:rPr>
          <w:bCs/>
          <w:noProof/>
          <w:lang w:eastAsia="fr-FR"/>
        </w:rPr>
        <w:t xml:space="preserve"> </w:t>
      </w:r>
      <w:r w:rsidR="00FC0AF3">
        <w:rPr>
          <w:bCs/>
          <w:noProof/>
          <w:lang w:eastAsia="fr-FR"/>
        </w:rPr>
        <w:t>‘n</w:t>
      </w:r>
      <w:r w:rsidR="00FC0AF3" w:rsidRPr="0075732D">
        <w:rPr>
          <w:bCs/>
          <w:noProof/>
          <w:lang w:eastAsia="fr-FR"/>
        </w:rPr>
        <w:t>either the</w:t>
      </w:r>
      <w:r w:rsidR="00FC0AF3">
        <w:rPr>
          <w:bCs/>
          <w:noProof/>
          <w:lang w:eastAsia="fr-FR"/>
        </w:rPr>
        <w:t xml:space="preserve"> </w:t>
      </w:r>
      <w:r w:rsidR="00FC0AF3" w:rsidRPr="0075732D">
        <w:rPr>
          <w:bCs/>
          <w:noProof/>
          <w:lang w:eastAsia="fr-FR"/>
        </w:rPr>
        <w:t>direct nor the indirect ownership background of media service providers is included</w:t>
      </w:r>
      <w:r w:rsidR="00FC0AF3">
        <w:rPr>
          <w:bCs/>
          <w:noProof/>
          <w:lang w:eastAsia="fr-FR"/>
        </w:rPr>
        <w:t>’</w:t>
      </w:r>
      <w:r w:rsidR="00FC0AF3">
        <w:rPr>
          <w:rStyle w:val="FootnoteReference"/>
          <w:bCs/>
          <w:noProof/>
          <w:lang w:eastAsia="fr-FR"/>
        </w:rPr>
        <w:footnoteReference w:id="144"/>
      </w:r>
      <w:r w:rsidR="00FC0AF3" w:rsidRPr="00F23164">
        <w:rPr>
          <w:bCs/>
          <w:noProof/>
          <w:lang w:eastAsia="fr-FR"/>
        </w:rPr>
        <w:t>.</w:t>
      </w:r>
      <w:r w:rsidR="00FC0AF3" w:rsidRPr="00F23164">
        <w:rPr>
          <w:noProof/>
          <w:lang w:eastAsia="fr-FR"/>
        </w:rPr>
        <w:t xml:space="preserve"> </w:t>
      </w:r>
    </w:p>
    <w:p w14:paraId="43CD4DE4" w14:textId="6DDA92BE" w:rsidR="00FC0AF3" w:rsidRDefault="008D5B33" w:rsidP="00FC0AF3">
      <w:pPr>
        <w:rPr>
          <w:noProof/>
          <w:lang w:eastAsia="fr-FR"/>
        </w:rPr>
      </w:pPr>
      <w:r>
        <w:rPr>
          <w:b/>
          <w:noProof/>
          <w:lang w:eastAsia="fr-FR"/>
        </w:rPr>
        <w:t xml:space="preserve">Amendments to the </w:t>
      </w:r>
      <w:r w:rsidR="001D5A08">
        <w:rPr>
          <w:b/>
          <w:noProof/>
          <w:lang w:eastAsia="fr-FR"/>
        </w:rPr>
        <w:t>Media Act</w:t>
      </w:r>
      <w:r w:rsidR="00972422">
        <w:rPr>
          <w:b/>
          <w:noProof/>
          <w:lang w:eastAsia="fr-FR"/>
        </w:rPr>
        <w:t xml:space="preserve"> have introduced reforms to the system regulating</w:t>
      </w:r>
      <w:r w:rsidR="00FC0AF3" w:rsidRPr="00D85219">
        <w:rPr>
          <w:b/>
          <w:noProof/>
          <w:lang w:eastAsia="fr-FR"/>
        </w:rPr>
        <w:t xml:space="preserve"> public service media</w:t>
      </w:r>
      <w:r w:rsidR="00FC0AF3">
        <w:rPr>
          <w:b/>
          <w:noProof/>
          <w:lang w:eastAsia="fr-FR"/>
        </w:rPr>
        <w:t xml:space="preserve"> </w:t>
      </w:r>
      <w:r w:rsidR="004D26CD">
        <w:rPr>
          <w:b/>
          <w:noProof/>
          <w:lang w:eastAsia="fr-FR"/>
        </w:rPr>
        <w:t xml:space="preserve">supervision, </w:t>
      </w:r>
      <w:r w:rsidR="002427C6">
        <w:rPr>
          <w:b/>
          <w:noProof/>
          <w:lang w:eastAsia="fr-FR"/>
        </w:rPr>
        <w:t>regulation and financing</w:t>
      </w:r>
      <w:r w:rsidR="00FC0AF3">
        <w:rPr>
          <w:rStyle w:val="FootnoteReference"/>
          <w:b/>
          <w:noProof/>
          <w:lang w:eastAsia="fr-FR"/>
        </w:rPr>
        <w:footnoteReference w:id="145"/>
      </w:r>
      <w:r w:rsidR="00FC0AF3" w:rsidRPr="00F23164">
        <w:rPr>
          <w:bCs/>
          <w:noProof/>
          <w:lang w:eastAsia="fr-FR"/>
        </w:rPr>
        <w:t>.</w:t>
      </w:r>
      <w:r w:rsidR="00FC0AF3">
        <w:rPr>
          <w:bCs/>
          <w:noProof/>
          <w:lang w:eastAsia="fr-FR"/>
        </w:rPr>
        <w:t xml:space="preserve"> </w:t>
      </w:r>
      <w:r w:rsidR="00FC0AF3" w:rsidRPr="00F82871">
        <w:rPr>
          <w:bCs/>
          <w:noProof/>
          <w:lang w:eastAsia="fr-FR"/>
        </w:rPr>
        <w:t>On 11 December 2025, the European Commission opened an infringement procedure</w:t>
      </w:r>
      <w:r w:rsidR="00FC0AF3">
        <w:rPr>
          <w:rStyle w:val="FootnoteReference"/>
          <w:bCs/>
          <w:noProof/>
          <w:lang w:eastAsia="fr-FR"/>
        </w:rPr>
        <w:footnoteReference w:id="146"/>
      </w:r>
      <w:r w:rsidR="00FC0AF3" w:rsidRPr="00F82871">
        <w:rPr>
          <w:bCs/>
          <w:noProof/>
          <w:lang w:eastAsia="fr-FR"/>
        </w:rPr>
        <w:t xml:space="preserve"> against Hungary for failing to comply with several provisions under the European Media Freedom Act</w:t>
      </w:r>
      <w:r w:rsidR="00FC0AF3">
        <w:rPr>
          <w:rStyle w:val="FootnoteReference"/>
          <w:bCs/>
          <w:noProof/>
          <w:lang w:eastAsia="fr-FR"/>
        </w:rPr>
        <w:footnoteReference w:id="147"/>
      </w:r>
      <w:r w:rsidR="00FC0AF3" w:rsidRPr="00F82871">
        <w:rPr>
          <w:bCs/>
          <w:noProof/>
          <w:lang w:eastAsia="fr-FR"/>
        </w:rPr>
        <w:t xml:space="preserve"> and certain requirements under the Audiovisual Media Services Directive</w:t>
      </w:r>
      <w:r w:rsidR="00FC0AF3">
        <w:rPr>
          <w:rStyle w:val="FootnoteReference"/>
          <w:bCs/>
          <w:noProof/>
          <w:lang w:eastAsia="fr-FR"/>
        </w:rPr>
        <w:footnoteReference w:id="148"/>
      </w:r>
      <w:r w:rsidR="00FC0AF3">
        <w:rPr>
          <w:bCs/>
          <w:noProof/>
          <w:lang w:eastAsia="fr-FR"/>
        </w:rPr>
        <w:t>, including the provisions on the independence of public service media governance and financing</w:t>
      </w:r>
      <w:r w:rsidR="00FC0AF3">
        <w:rPr>
          <w:rStyle w:val="FootnoteReference"/>
          <w:bCs/>
          <w:noProof/>
          <w:lang w:eastAsia="fr-FR"/>
        </w:rPr>
        <w:footnoteReference w:id="149"/>
      </w:r>
      <w:r w:rsidR="00FC0AF3" w:rsidRPr="00F82871">
        <w:rPr>
          <w:bCs/>
          <w:noProof/>
          <w:lang w:eastAsia="fr-FR"/>
        </w:rPr>
        <w:t xml:space="preserve">. </w:t>
      </w:r>
      <w:r w:rsidR="007702A3">
        <w:rPr>
          <w:bCs/>
          <w:noProof/>
          <w:lang w:eastAsia="fr-FR"/>
        </w:rPr>
        <w:t xml:space="preserve">Prior to the </w:t>
      </w:r>
      <w:r w:rsidR="00022988">
        <w:rPr>
          <w:bCs/>
          <w:noProof/>
          <w:lang w:eastAsia="fr-FR"/>
        </w:rPr>
        <w:t>adoption of the</w:t>
      </w:r>
      <w:r w:rsidR="001A638B">
        <w:rPr>
          <w:bCs/>
          <w:noProof/>
          <w:lang w:eastAsia="fr-FR"/>
        </w:rPr>
        <w:t xml:space="preserve"> </w:t>
      </w:r>
      <w:r w:rsidR="00754184">
        <w:rPr>
          <w:bCs/>
          <w:noProof/>
          <w:lang w:eastAsia="fr-FR"/>
        </w:rPr>
        <w:t>amendments to the Media Act</w:t>
      </w:r>
      <w:r w:rsidR="00365268">
        <w:rPr>
          <w:bCs/>
          <w:noProof/>
          <w:lang w:eastAsia="fr-FR"/>
        </w:rPr>
        <w:t>, the</w:t>
      </w:r>
      <w:r w:rsidR="00FC0AF3" w:rsidRPr="00F82871">
        <w:rPr>
          <w:bCs/>
          <w:noProof/>
          <w:lang w:eastAsia="fr-FR"/>
        </w:rPr>
        <w:t xml:space="preserve"> </w:t>
      </w:r>
      <w:r w:rsidR="00FC0AF3" w:rsidRPr="00F23164">
        <w:rPr>
          <w:noProof/>
          <w:lang w:eastAsia="fr-FR"/>
        </w:rPr>
        <w:t xml:space="preserve">MPM maintained its very high-risk score for this area </w:t>
      </w:r>
      <w:r w:rsidR="00FC0AF3">
        <w:rPr>
          <w:noProof/>
          <w:lang w:eastAsia="fr-FR"/>
        </w:rPr>
        <w:t xml:space="preserve">highlighting biased coverage, the lack of transparent appointment mechanisms and high </w:t>
      </w:r>
      <w:r w:rsidR="00FC0AF3" w:rsidRPr="00CE0B4D">
        <w:rPr>
          <w:noProof/>
          <w:lang w:eastAsia="fr-FR"/>
        </w:rPr>
        <w:t>levels of political control</w:t>
      </w:r>
      <w:r w:rsidR="00FC0AF3" w:rsidRPr="00CE0B4D">
        <w:rPr>
          <w:rStyle w:val="FootnoteReference"/>
          <w:bCs/>
          <w:noProof/>
          <w:lang w:eastAsia="fr-FR"/>
        </w:rPr>
        <w:footnoteReference w:id="150"/>
      </w:r>
      <w:r w:rsidR="00FC0AF3" w:rsidRPr="00CE0B4D">
        <w:rPr>
          <w:bCs/>
          <w:noProof/>
          <w:lang w:eastAsia="fr-FR"/>
        </w:rPr>
        <w:t>.</w:t>
      </w:r>
      <w:r w:rsidR="00FC0AF3" w:rsidRPr="00CE0B4D">
        <w:rPr>
          <w:noProof/>
          <w:lang w:eastAsia="fr-FR"/>
        </w:rPr>
        <w:t xml:space="preserve"> </w:t>
      </w:r>
      <w:r w:rsidR="00B83B38" w:rsidRPr="00CE0B4D">
        <w:rPr>
          <w:noProof/>
          <w:lang w:eastAsia="fr-FR"/>
        </w:rPr>
        <w:t>The Media Act adopted in June brought about the termination of the previous Public Service Foundation and the establishment of a new Independent Public Media Board and an Office which shall carry out the day-to-day activities on behalf of the former. The legislation establishes new rules regulating the composition of the entities, nominations thereto, conflict of interests, termination of office, as well as the respective tasks, powers and remuneration of these institutions and office holders thereof. It also establishes a new Charter and Civil Service Council for public service media, rules governing the public service provider itself including the appointment of the provider’s CEO, financing and management and new specific employment law rules for this entity.</w:t>
      </w:r>
      <w:r w:rsidR="00B83B38" w:rsidRPr="00C068BA">
        <w:rPr>
          <w:noProof/>
          <w:lang w:eastAsia="fr-FR"/>
        </w:rPr>
        <w:t xml:space="preserve"> In the light of the legislative steps taken with a view to implement the European Media Freedom Act, </w:t>
      </w:r>
      <w:r w:rsidR="00015863" w:rsidRPr="00C068BA">
        <w:rPr>
          <w:noProof/>
          <w:lang w:eastAsia="fr-FR"/>
        </w:rPr>
        <w:t xml:space="preserve">some </w:t>
      </w:r>
      <w:r w:rsidR="00B83B38" w:rsidRPr="00C068BA">
        <w:rPr>
          <w:noProof/>
          <w:lang w:eastAsia="fr-FR"/>
        </w:rPr>
        <w:t>progress has been made in this area</w:t>
      </w:r>
      <w:r w:rsidR="00B83B38" w:rsidRPr="00CE0B4D">
        <w:rPr>
          <w:noProof/>
          <w:lang w:eastAsia="fr-FR"/>
        </w:rPr>
        <w:t>.</w:t>
      </w:r>
      <w:r w:rsidR="00A47F00">
        <w:rPr>
          <w:noProof/>
          <w:lang w:eastAsia="fr-FR"/>
        </w:rPr>
        <w:t xml:space="preserve"> </w:t>
      </w:r>
      <w:r w:rsidR="00FC0AF3" w:rsidRPr="00F23164">
        <w:rPr>
          <w:noProof/>
          <w:lang w:eastAsia="fr-FR"/>
        </w:rPr>
        <w:t xml:space="preserve"> </w:t>
      </w:r>
    </w:p>
    <w:p w14:paraId="3631F341" w14:textId="1653311A" w:rsidR="00FC0AF3" w:rsidRPr="00A0640C" w:rsidRDefault="00FC0AF3" w:rsidP="00FC0AF3">
      <w:pPr>
        <w:rPr>
          <w:noProof/>
          <w:lang w:val="en-IE" w:eastAsia="fr-FR"/>
        </w:rPr>
      </w:pPr>
      <w:r w:rsidRPr="003424B7">
        <w:rPr>
          <w:b/>
          <w:bCs/>
          <w:noProof/>
          <w:lang w:val="en-IE" w:eastAsia="fr-FR"/>
        </w:rPr>
        <w:t xml:space="preserve">Although the processing of court cases relating to access to information </w:t>
      </w:r>
      <w:r>
        <w:rPr>
          <w:b/>
          <w:bCs/>
          <w:noProof/>
          <w:lang w:val="en-IE" w:eastAsia="fr-FR"/>
        </w:rPr>
        <w:t>has been</w:t>
      </w:r>
      <w:r w:rsidRPr="003424B7">
        <w:rPr>
          <w:b/>
          <w:bCs/>
          <w:noProof/>
          <w:lang w:val="en-IE" w:eastAsia="fr-FR"/>
        </w:rPr>
        <w:t xml:space="preserve"> accelerated</w:t>
      </w:r>
      <w:r w:rsidR="001F3EC7">
        <w:rPr>
          <w:b/>
          <w:bCs/>
          <w:noProof/>
          <w:lang w:val="en-IE" w:eastAsia="fr-FR"/>
        </w:rPr>
        <w:t xml:space="preserve"> and new procedural rules may </w:t>
      </w:r>
      <w:r w:rsidR="006E3F5F">
        <w:rPr>
          <w:b/>
          <w:bCs/>
          <w:noProof/>
          <w:lang w:val="en-IE" w:eastAsia="fr-FR"/>
        </w:rPr>
        <w:t xml:space="preserve">further </w:t>
      </w:r>
      <w:r w:rsidR="00B36E47">
        <w:rPr>
          <w:b/>
          <w:bCs/>
          <w:noProof/>
          <w:lang w:val="en-IE" w:eastAsia="fr-FR"/>
        </w:rPr>
        <w:t>strengthen the rights of data requestors</w:t>
      </w:r>
      <w:r w:rsidRPr="003424B7">
        <w:rPr>
          <w:b/>
          <w:bCs/>
          <w:noProof/>
          <w:lang w:val="en-IE" w:eastAsia="fr-FR"/>
        </w:rPr>
        <w:t xml:space="preserve">, the scope of access remains limited, particularly with regard to </w:t>
      </w:r>
      <w:r>
        <w:rPr>
          <w:b/>
          <w:bCs/>
          <w:noProof/>
          <w:lang w:val="en-IE" w:eastAsia="fr-FR"/>
        </w:rPr>
        <w:t xml:space="preserve">the use of </w:t>
      </w:r>
      <w:r w:rsidRPr="003424B7">
        <w:rPr>
          <w:b/>
          <w:bCs/>
          <w:noProof/>
          <w:lang w:val="en-IE" w:eastAsia="fr-FR"/>
        </w:rPr>
        <w:t>public funding</w:t>
      </w:r>
      <w:r w:rsidRPr="00A0640C">
        <w:rPr>
          <w:b/>
          <w:bCs/>
          <w:noProof/>
          <w:lang w:val="en-IE" w:eastAsia="fr-FR"/>
        </w:rPr>
        <w:t>.</w:t>
      </w:r>
      <w:r w:rsidRPr="00A0640C">
        <w:rPr>
          <w:noProof/>
          <w:lang w:val="en-IE" w:eastAsia="fr-FR"/>
        </w:rPr>
        <w:t xml:space="preserve"> The short procedural deadlines introduced in 2023 have led to </w:t>
      </w:r>
      <w:r>
        <w:rPr>
          <w:noProof/>
          <w:lang w:val="en-IE" w:eastAsia="fr-FR"/>
        </w:rPr>
        <w:t>faster</w:t>
      </w:r>
      <w:r w:rsidRPr="00A0640C">
        <w:rPr>
          <w:noProof/>
          <w:lang w:val="en-IE" w:eastAsia="fr-FR"/>
        </w:rPr>
        <w:t xml:space="preserve"> litigation in cases involving access to information of public interest. </w:t>
      </w:r>
      <w:r w:rsidR="007E3B8A">
        <w:rPr>
          <w:noProof/>
          <w:lang w:val="en-IE" w:eastAsia="fr-FR"/>
        </w:rPr>
        <w:t>Most r</w:t>
      </w:r>
      <w:r w:rsidRPr="005359A5">
        <w:rPr>
          <w:noProof/>
          <w:lang w:val="en-IE" w:eastAsia="fr-FR"/>
        </w:rPr>
        <w:t>estrictions on freedom of information introduced in 2023, 2024 and 2025 are still in force</w:t>
      </w:r>
      <w:r w:rsidRPr="00A0640C">
        <w:rPr>
          <w:rStyle w:val="FootnoteReference"/>
          <w:noProof/>
          <w:lang w:val="en-IE" w:eastAsia="fr-FR"/>
        </w:rPr>
        <w:footnoteReference w:id="151"/>
      </w:r>
      <w:r w:rsidRPr="00A0640C">
        <w:rPr>
          <w:noProof/>
          <w:lang w:val="en-IE" w:eastAsia="fr-FR"/>
        </w:rPr>
        <w:t xml:space="preserve">. </w:t>
      </w:r>
      <w:r>
        <w:rPr>
          <w:noProof/>
          <w:lang w:val="en-IE" w:eastAsia="fr-FR"/>
        </w:rPr>
        <w:t>Stakeholders report that a</w:t>
      </w:r>
      <w:r w:rsidRPr="008D6B41">
        <w:rPr>
          <w:noProof/>
          <w:lang w:val="en-IE" w:eastAsia="fr-FR"/>
        </w:rPr>
        <w:t xml:space="preserve">ccess to information on the use of public funding via promotional banks and private equity funds </w:t>
      </w:r>
      <w:r>
        <w:rPr>
          <w:noProof/>
          <w:lang w:val="en-IE" w:eastAsia="fr-FR"/>
        </w:rPr>
        <w:t>i</w:t>
      </w:r>
      <w:r w:rsidRPr="008D6B41">
        <w:rPr>
          <w:noProof/>
          <w:lang w:val="en-IE" w:eastAsia="fr-FR"/>
        </w:rPr>
        <w:t>s severely limited</w:t>
      </w:r>
      <w:r>
        <w:rPr>
          <w:rStyle w:val="FootnoteReference"/>
          <w:noProof/>
          <w:lang w:val="en-IE" w:eastAsia="fr-FR"/>
        </w:rPr>
        <w:footnoteReference w:id="152"/>
      </w:r>
      <w:r>
        <w:rPr>
          <w:noProof/>
          <w:lang w:val="en-IE" w:eastAsia="fr-FR"/>
        </w:rPr>
        <w:t xml:space="preserve">. </w:t>
      </w:r>
      <w:r w:rsidRPr="00651F19">
        <w:rPr>
          <w:noProof/>
          <w:lang w:val="en-IE" w:eastAsia="fr-FR"/>
        </w:rPr>
        <w:t xml:space="preserve">Certain public bodies </w:t>
      </w:r>
      <w:r>
        <w:rPr>
          <w:noProof/>
          <w:lang w:val="en-IE" w:eastAsia="fr-FR"/>
        </w:rPr>
        <w:t xml:space="preserve">are reported to </w:t>
      </w:r>
      <w:r w:rsidRPr="00651F19">
        <w:rPr>
          <w:noProof/>
          <w:lang w:val="en-IE" w:eastAsia="fr-FR"/>
        </w:rPr>
        <w:t>allow only on-the-spot examination of documents, which is an unlawful practice</w:t>
      </w:r>
      <w:r>
        <w:rPr>
          <w:rStyle w:val="FootnoteReference"/>
          <w:noProof/>
          <w:lang w:val="en-IE" w:eastAsia="fr-FR"/>
        </w:rPr>
        <w:footnoteReference w:id="153"/>
      </w:r>
      <w:r>
        <w:rPr>
          <w:noProof/>
          <w:lang w:val="en-IE" w:eastAsia="fr-FR"/>
        </w:rPr>
        <w:t xml:space="preserve">. </w:t>
      </w:r>
      <w:r w:rsidRPr="00877898">
        <w:rPr>
          <w:noProof/>
          <w:lang w:val="en-IE" w:eastAsia="fr-FR"/>
        </w:rPr>
        <w:t xml:space="preserve">The National Assembly has yet to implement the Constitutional Court’s 2020 decision that effective judicial protection </w:t>
      </w:r>
      <w:r>
        <w:rPr>
          <w:noProof/>
          <w:lang w:val="en-IE" w:eastAsia="fr-FR"/>
        </w:rPr>
        <w:t xml:space="preserve">must be ensured </w:t>
      </w:r>
      <w:r w:rsidRPr="00877898">
        <w:rPr>
          <w:noProof/>
          <w:lang w:val="en-IE" w:eastAsia="fr-FR"/>
        </w:rPr>
        <w:t>in cases concerning freedom of information requests relating to public funds addressed to the recipients of such funds</w:t>
      </w:r>
      <w:r w:rsidRPr="00A0640C">
        <w:rPr>
          <w:rStyle w:val="FootnoteReference"/>
          <w:noProof/>
          <w:lang w:val="en-IE" w:eastAsia="fr-FR"/>
        </w:rPr>
        <w:footnoteReference w:id="154"/>
      </w:r>
      <w:r w:rsidRPr="00A0640C">
        <w:rPr>
          <w:noProof/>
          <w:lang w:val="en-IE" w:eastAsia="fr-FR"/>
        </w:rPr>
        <w:t xml:space="preserve">. </w:t>
      </w:r>
      <w:r w:rsidR="0076098C">
        <w:rPr>
          <w:noProof/>
          <w:lang w:val="en-IE" w:eastAsia="fr-FR"/>
        </w:rPr>
        <w:t>In some instance</w:t>
      </w:r>
      <w:r w:rsidR="00E82203">
        <w:rPr>
          <w:noProof/>
          <w:lang w:val="en-IE" w:eastAsia="fr-FR"/>
        </w:rPr>
        <w:t>s</w:t>
      </w:r>
      <w:r w:rsidR="0076098C">
        <w:rPr>
          <w:noProof/>
          <w:lang w:val="en-IE" w:eastAsia="fr-FR"/>
        </w:rPr>
        <w:t>, c</w:t>
      </w:r>
      <w:r w:rsidR="00B6298A" w:rsidRPr="00322B9B">
        <w:rPr>
          <w:noProof/>
          <w:lang w:val="en-IE" w:eastAsia="fr-FR"/>
        </w:rPr>
        <w:t xml:space="preserve">ase law from both the </w:t>
      </w:r>
      <w:r w:rsidR="00B6298A" w:rsidRPr="0056737E">
        <w:rPr>
          <w:i/>
          <w:iCs/>
          <w:noProof/>
          <w:lang w:val="en-IE" w:eastAsia="fr-FR"/>
        </w:rPr>
        <w:t>Kúria</w:t>
      </w:r>
      <w:r w:rsidR="00B6298A" w:rsidRPr="00322B9B">
        <w:rPr>
          <w:noProof/>
          <w:lang w:val="en-IE" w:eastAsia="fr-FR"/>
        </w:rPr>
        <w:t xml:space="preserve"> and the Constitutional Court has </w:t>
      </w:r>
      <w:r w:rsidR="00B6298A">
        <w:rPr>
          <w:noProof/>
          <w:lang w:val="en-IE" w:eastAsia="fr-FR"/>
        </w:rPr>
        <w:t xml:space="preserve">validated the lack of </w:t>
      </w:r>
      <w:r w:rsidR="00B6298A" w:rsidRPr="00322B9B">
        <w:rPr>
          <w:noProof/>
          <w:lang w:val="en-IE" w:eastAsia="fr-FR"/>
        </w:rPr>
        <w:t xml:space="preserve">judicial </w:t>
      </w:r>
      <w:r w:rsidR="00B6298A">
        <w:rPr>
          <w:noProof/>
          <w:lang w:val="en-IE" w:eastAsia="fr-FR"/>
        </w:rPr>
        <w:t>review</w:t>
      </w:r>
      <w:r w:rsidR="00B6298A" w:rsidRPr="00322B9B">
        <w:rPr>
          <w:noProof/>
          <w:lang w:val="en-IE" w:eastAsia="fr-FR"/>
        </w:rPr>
        <w:t xml:space="preserve"> in cases where access to documents is denied on </w:t>
      </w:r>
      <w:r w:rsidR="00B6298A">
        <w:rPr>
          <w:noProof/>
          <w:lang w:val="en-IE" w:eastAsia="fr-FR"/>
        </w:rPr>
        <w:t xml:space="preserve">the grounds of </w:t>
      </w:r>
      <w:r w:rsidR="00B6298A" w:rsidRPr="00322B9B">
        <w:rPr>
          <w:noProof/>
          <w:lang w:val="en-IE" w:eastAsia="fr-FR"/>
        </w:rPr>
        <w:t>foreign policy</w:t>
      </w:r>
      <w:r w:rsidR="00B6298A" w:rsidRPr="00A0640C">
        <w:rPr>
          <w:rStyle w:val="FootnoteReference"/>
          <w:noProof/>
          <w:lang w:val="en-IE" w:eastAsia="fr-FR"/>
        </w:rPr>
        <w:footnoteReference w:id="155"/>
      </w:r>
      <w:r w:rsidR="00B6298A" w:rsidRPr="00A0640C">
        <w:rPr>
          <w:noProof/>
          <w:lang w:val="en-IE" w:eastAsia="fr-FR"/>
        </w:rPr>
        <w:t xml:space="preserve">. </w:t>
      </w:r>
      <w:r w:rsidR="00B6298A" w:rsidRPr="00414BEE">
        <w:rPr>
          <w:noProof/>
          <w:lang w:val="en-IE" w:eastAsia="fr-FR"/>
        </w:rPr>
        <w:t xml:space="preserve">Furthermore, the </w:t>
      </w:r>
      <w:r w:rsidR="00B6298A" w:rsidRPr="00414BEE">
        <w:rPr>
          <w:i/>
          <w:iCs/>
          <w:noProof/>
          <w:lang w:val="en-IE" w:eastAsia="fr-FR"/>
        </w:rPr>
        <w:t>Kúria</w:t>
      </w:r>
      <w:r w:rsidR="00B6298A" w:rsidRPr="00414BEE">
        <w:rPr>
          <w:noProof/>
          <w:lang w:val="en-IE" w:eastAsia="fr-FR"/>
        </w:rPr>
        <w:t xml:space="preserve"> has overturned binding decisions of lower courts and denied access to the requested documents</w:t>
      </w:r>
      <w:r w:rsidR="00B6298A" w:rsidRPr="00414BEE">
        <w:rPr>
          <w:rStyle w:val="FootnoteReference"/>
          <w:noProof/>
          <w:lang w:val="en-IE" w:eastAsia="fr-FR"/>
        </w:rPr>
        <w:footnoteReference w:id="156"/>
      </w:r>
      <w:r w:rsidR="00B6298A" w:rsidRPr="00414BEE">
        <w:rPr>
          <w:noProof/>
          <w:lang w:val="en-IE" w:eastAsia="fr-FR"/>
        </w:rPr>
        <w:t>.</w:t>
      </w:r>
      <w:r w:rsidR="00B6298A">
        <w:rPr>
          <w:noProof/>
          <w:lang w:val="en-IE" w:eastAsia="fr-FR"/>
        </w:rPr>
        <w:t xml:space="preserve"> The omnibus law of June 2026 introduced the requirement of cooperation in good faith between the data requestor and the public service entity</w:t>
      </w:r>
      <w:r w:rsidR="00B6298A">
        <w:rPr>
          <w:rStyle w:val="FootnoteReference"/>
          <w:noProof/>
          <w:lang w:val="en-IE" w:eastAsia="fr-FR"/>
        </w:rPr>
        <w:footnoteReference w:id="157"/>
      </w:r>
      <w:r w:rsidR="00B6298A">
        <w:rPr>
          <w:noProof/>
          <w:lang w:val="en-IE" w:eastAsia="fr-FR"/>
        </w:rPr>
        <w:t xml:space="preserve"> and reduced the possibility for public service entities to dismiss requests for access to documents</w:t>
      </w:r>
      <w:r w:rsidR="00B6298A">
        <w:rPr>
          <w:rStyle w:val="FootnoteReference"/>
          <w:noProof/>
          <w:lang w:val="en-IE" w:eastAsia="fr-FR"/>
        </w:rPr>
        <w:footnoteReference w:id="158"/>
      </w:r>
      <w:r w:rsidR="00B6298A">
        <w:rPr>
          <w:noProof/>
          <w:lang w:val="en-IE" w:eastAsia="fr-FR"/>
        </w:rPr>
        <w:t xml:space="preserve">. Stakeholders report that </w:t>
      </w:r>
      <w:r w:rsidR="00B6298A" w:rsidRPr="007849F8">
        <w:rPr>
          <w:noProof/>
          <w:lang w:val="en-IE" w:eastAsia="fr-FR"/>
        </w:rPr>
        <w:t xml:space="preserve">certain public bodies </w:t>
      </w:r>
      <w:r w:rsidR="00B6298A">
        <w:rPr>
          <w:noProof/>
          <w:lang w:val="en-IE" w:eastAsia="fr-FR"/>
        </w:rPr>
        <w:t xml:space="preserve">do not comply with enforcement </w:t>
      </w:r>
      <w:r w:rsidR="00B6298A" w:rsidRPr="007849F8">
        <w:rPr>
          <w:noProof/>
          <w:lang w:val="en-IE" w:eastAsia="fr-FR"/>
        </w:rPr>
        <w:t>orders</w:t>
      </w:r>
      <w:r w:rsidR="00B6298A">
        <w:rPr>
          <w:noProof/>
          <w:lang w:val="en-IE" w:eastAsia="fr-FR"/>
        </w:rPr>
        <w:t xml:space="preserve"> granting access to documents</w:t>
      </w:r>
      <w:r w:rsidR="00B6298A" w:rsidRPr="00A0640C">
        <w:rPr>
          <w:rStyle w:val="FootnoteReference"/>
          <w:noProof/>
          <w:lang w:val="en-IE" w:eastAsia="fr-FR"/>
        </w:rPr>
        <w:footnoteReference w:id="159"/>
      </w:r>
      <w:r w:rsidR="00B6298A" w:rsidRPr="00A0640C">
        <w:rPr>
          <w:noProof/>
          <w:lang w:val="en-IE" w:eastAsia="fr-FR"/>
        </w:rPr>
        <w:t>.</w:t>
      </w:r>
      <w:r w:rsidR="00B6298A">
        <w:rPr>
          <w:noProof/>
          <w:lang w:val="en-IE" w:eastAsia="fr-FR"/>
        </w:rPr>
        <w:t xml:space="preserve"> With r</w:t>
      </w:r>
      <w:r w:rsidR="00B6298A" w:rsidRPr="001D1CBD">
        <w:rPr>
          <w:noProof/>
          <w:lang w:val="en-IE" w:eastAsia="fr-FR"/>
        </w:rPr>
        <w:t xml:space="preserve">egard </w:t>
      </w:r>
      <w:r w:rsidR="00B6298A">
        <w:rPr>
          <w:noProof/>
          <w:lang w:val="en-IE" w:eastAsia="fr-FR"/>
        </w:rPr>
        <w:t xml:space="preserve">to </w:t>
      </w:r>
      <w:r w:rsidR="00B6298A" w:rsidRPr="001D1CBD">
        <w:rPr>
          <w:noProof/>
          <w:lang w:val="en-IE" w:eastAsia="fr-FR"/>
        </w:rPr>
        <w:t xml:space="preserve">proactive disclosure, </w:t>
      </w:r>
      <w:r w:rsidR="00B6298A">
        <w:rPr>
          <w:noProof/>
          <w:lang w:val="en-IE" w:eastAsia="fr-FR"/>
        </w:rPr>
        <w:t>the omnibus law of June 2026 extended the scope of data to be published</w:t>
      </w:r>
      <w:r w:rsidR="00B6298A">
        <w:rPr>
          <w:rStyle w:val="FootnoteReference"/>
          <w:noProof/>
          <w:lang w:val="en-IE" w:eastAsia="fr-FR"/>
        </w:rPr>
        <w:footnoteReference w:id="160"/>
      </w:r>
      <w:r w:rsidR="00B6298A">
        <w:rPr>
          <w:noProof/>
          <w:lang w:val="en-IE" w:eastAsia="fr-FR"/>
        </w:rPr>
        <w:t xml:space="preserve"> and the list of entities required to publish information in </w:t>
      </w:r>
      <w:r w:rsidR="00B6298A" w:rsidRPr="001D1CBD">
        <w:rPr>
          <w:noProof/>
          <w:lang w:val="en-IE" w:eastAsia="fr-FR"/>
        </w:rPr>
        <w:t>the Central Public Data Information Register</w:t>
      </w:r>
      <w:r w:rsidR="00B6298A">
        <w:rPr>
          <w:rStyle w:val="FootnoteReference"/>
          <w:noProof/>
          <w:lang w:val="en-IE" w:eastAsia="fr-FR"/>
        </w:rPr>
        <w:footnoteReference w:id="161"/>
      </w:r>
      <w:r w:rsidR="00B6298A">
        <w:rPr>
          <w:noProof/>
          <w:lang w:val="en-IE" w:eastAsia="fr-FR"/>
        </w:rPr>
        <w:t xml:space="preserve">. </w:t>
      </w:r>
      <w:r w:rsidR="00B6298A" w:rsidRPr="001B118D">
        <w:rPr>
          <w:noProof/>
          <w:lang w:eastAsia="fr-FR"/>
        </w:rPr>
        <w:t>The Media Pluralism Monitor</w:t>
      </w:r>
      <w:r w:rsidR="00B6298A">
        <w:rPr>
          <w:noProof/>
          <w:lang w:eastAsia="fr-FR"/>
        </w:rPr>
        <w:t xml:space="preserve"> continues to</w:t>
      </w:r>
      <w:r w:rsidR="00B6298A" w:rsidRPr="001B118D">
        <w:rPr>
          <w:noProof/>
          <w:lang w:eastAsia="fr-FR"/>
        </w:rPr>
        <w:t xml:space="preserve"> consider this to be an area presenting very high risk</w:t>
      </w:r>
      <w:r w:rsidR="00B6298A">
        <w:rPr>
          <w:rStyle w:val="FootnoteReference"/>
          <w:noProof/>
          <w:lang w:eastAsia="fr-FR"/>
        </w:rPr>
        <w:footnoteReference w:id="162"/>
      </w:r>
      <w:r w:rsidR="00B6298A">
        <w:rPr>
          <w:noProof/>
          <w:lang w:eastAsia="fr-FR"/>
        </w:rPr>
        <w:t>.</w:t>
      </w:r>
    </w:p>
    <w:p w14:paraId="354DCCC5" w14:textId="5E23025C" w:rsidR="00FC0AF3" w:rsidRPr="00EF40B1" w:rsidRDefault="00CC6891" w:rsidP="00FC0AF3">
      <w:pPr>
        <w:rPr>
          <w:noProof/>
          <w:lang w:val="en-IE" w:eastAsia="fr-FR"/>
        </w:rPr>
      </w:pPr>
      <w:r w:rsidRPr="00435D30">
        <w:rPr>
          <w:b/>
          <w:noProof/>
          <w:lang w:val="en-IE" w:eastAsia="fr-FR"/>
        </w:rPr>
        <w:t>During a large part of the reporting period, journalists and other media professionals</w:t>
      </w:r>
      <w:r w:rsidRPr="72486A58">
        <w:rPr>
          <w:b/>
          <w:noProof/>
          <w:lang w:val="en-IE" w:eastAsia="fr-FR"/>
        </w:rPr>
        <w:t xml:space="preserve"> continue</w:t>
      </w:r>
      <w:r>
        <w:rPr>
          <w:b/>
          <w:noProof/>
          <w:lang w:val="en-IE" w:eastAsia="fr-FR"/>
        </w:rPr>
        <w:t>d</w:t>
      </w:r>
      <w:r w:rsidRPr="72486A58">
        <w:rPr>
          <w:b/>
          <w:noProof/>
          <w:lang w:val="en-IE" w:eastAsia="fr-FR"/>
        </w:rPr>
        <w:t xml:space="preserve"> to encounter numerous and serious</w:t>
      </w:r>
      <w:r w:rsidRPr="72486A58">
        <w:rPr>
          <w:b/>
          <w:noProof/>
          <w:lang w:eastAsia="fr-FR"/>
        </w:rPr>
        <w:t xml:space="preserve"> challenges to their work.</w:t>
      </w:r>
      <w:r w:rsidRPr="72486A58">
        <w:rPr>
          <w:noProof/>
          <w:lang w:eastAsia="fr-FR"/>
        </w:rPr>
        <w:t xml:space="preserve"> A wide array of stakeholders emphasise</w:t>
      </w:r>
      <w:r>
        <w:rPr>
          <w:noProof/>
          <w:lang w:eastAsia="fr-FR"/>
        </w:rPr>
        <w:t>d</w:t>
      </w:r>
      <w:r w:rsidRPr="72486A58">
        <w:rPr>
          <w:noProof/>
          <w:lang w:eastAsia="fr-FR"/>
        </w:rPr>
        <w:t xml:space="preserve"> that a number of factors ha</w:t>
      </w:r>
      <w:r>
        <w:rPr>
          <w:noProof/>
          <w:lang w:eastAsia="fr-FR"/>
        </w:rPr>
        <w:t>d</w:t>
      </w:r>
      <w:r w:rsidRPr="72486A58">
        <w:rPr>
          <w:noProof/>
          <w:lang w:eastAsia="fr-FR"/>
        </w:rPr>
        <w:t xml:space="preserve"> exacerbated the obstacles media workers fac</w:t>
      </w:r>
      <w:r>
        <w:rPr>
          <w:noProof/>
          <w:lang w:eastAsia="fr-FR"/>
        </w:rPr>
        <w:t>ed</w:t>
      </w:r>
      <w:r w:rsidRPr="72486A58">
        <w:rPr>
          <w:noProof/>
          <w:lang w:eastAsia="fr-FR"/>
        </w:rPr>
        <w:t xml:space="preserve"> when carrying out their work</w:t>
      </w:r>
      <w:r w:rsidRPr="72486A58">
        <w:rPr>
          <w:rStyle w:val="FootnoteReference"/>
          <w:noProof/>
          <w:lang w:eastAsia="fr-FR"/>
        </w:rPr>
        <w:footnoteReference w:id="163"/>
      </w:r>
      <w:r w:rsidRPr="72486A58">
        <w:rPr>
          <w:noProof/>
          <w:lang w:eastAsia="fr-FR"/>
        </w:rPr>
        <w:t xml:space="preserve"> which a recent report summarised as ‘the weaponization of laws against independent media outlets’</w:t>
      </w:r>
      <w:r w:rsidRPr="72486A58">
        <w:rPr>
          <w:rStyle w:val="FootnoteReference"/>
          <w:noProof/>
          <w:lang w:eastAsia="fr-FR"/>
        </w:rPr>
        <w:footnoteReference w:id="164"/>
      </w:r>
      <w:r w:rsidRPr="72486A58">
        <w:rPr>
          <w:noProof/>
          <w:lang w:eastAsia="fr-FR"/>
        </w:rPr>
        <w:t>, targeted exclusion of independent journalists</w:t>
      </w:r>
      <w:r w:rsidRPr="72486A58">
        <w:rPr>
          <w:rStyle w:val="FootnoteReference"/>
          <w:noProof/>
          <w:lang w:eastAsia="fr-FR"/>
        </w:rPr>
        <w:footnoteReference w:id="165"/>
      </w:r>
      <w:r w:rsidRPr="72486A58">
        <w:rPr>
          <w:noProof/>
          <w:lang w:eastAsia="fr-FR"/>
        </w:rPr>
        <w:t>, the use of smear campaigns against journalists and media outlets, SLAPP lawsuits, the deployment of unlawful surveillance and the actions of the Sovereignty Protection Office</w:t>
      </w:r>
      <w:r w:rsidRPr="72486A58">
        <w:rPr>
          <w:rStyle w:val="FootnoteReference"/>
          <w:noProof/>
          <w:lang w:eastAsia="fr-FR"/>
        </w:rPr>
        <w:footnoteReference w:id="166"/>
      </w:r>
      <w:r w:rsidRPr="72486A58">
        <w:rPr>
          <w:noProof/>
          <w:lang w:eastAsia="fr-FR"/>
        </w:rPr>
        <w:t>. The 2026 MPM consider</w:t>
      </w:r>
      <w:r>
        <w:rPr>
          <w:noProof/>
          <w:lang w:eastAsia="fr-FR"/>
        </w:rPr>
        <w:t>s</w:t>
      </w:r>
      <w:r w:rsidRPr="72486A58">
        <w:rPr>
          <w:noProof/>
          <w:lang w:eastAsia="fr-FR"/>
        </w:rPr>
        <w:t xml:space="preserve"> the safety of journalists to be an area </w:t>
      </w:r>
      <w:r>
        <w:rPr>
          <w:noProof/>
          <w:lang w:eastAsia="fr-FR"/>
        </w:rPr>
        <w:t xml:space="preserve">which </w:t>
      </w:r>
      <w:r w:rsidRPr="72486A58">
        <w:rPr>
          <w:noProof/>
          <w:lang w:eastAsia="fr-FR"/>
        </w:rPr>
        <w:t>present</w:t>
      </w:r>
      <w:r>
        <w:rPr>
          <w:noProof/>
          <w:lang w:eastAsia="fr-FR"/>
        </w:rPr>
        <w:t>ed</w:t>
      </w:r>
      <w:r w:rsidRPr="72486A58">
        <w:rPr>
          <w:noProof/>
          <w:lang w:eastAsia="fr-FR"/>
        </w:rPr>
        <w:t xml:space="preserve"> medium-high risk, flagging that surveillance and source protection remain</w:t>
      </w:r>
      <w:r>
        <w:rPr>
          <w:noProof/>
          <w:lang w:eastAsia="fr-FR"/>
        </w:rPr>
        <w:t>ed</w:t>
      </w:r>
      <w:r w:rsidRPr="72486A58">
        <w:rPr>
          <w:noProof/>
          <w:lang w:eastAsia="fr-FR"/>
        </w:rPr>
        <w:t xml:space="preserve"> areas of serious concern</w:t>
      </w:r>
      <w:r w:rsidRPr="72486A58">
        <w:rPr>
          <w:rStyle w:val="FootnoteReference"/>
          <w:noProof/>
          <w:lang w:eastAsia="fr-FR"/>
        </w:rPr>
        <w:footnoteReference w:id="167"/>
      </w:r>
      <w:r w:rsidRPr="72486A58">
        <w:rPr>
          <w:noProof/>
          <w:lang w:eastAsia="fr-FR"/>
        </w:rPr>
        <w:t xml:space="preserve"> The Council of Europe’s Platform to promote the protection of journalism and safety of journalists registered three new alerts relating to, respectively, continued political influence over public service media, an investigative journalist charged with espionage</w:t>
      </w:r>
      <w:r w:rsidRPr="72486A58" w:rsidDel="005F72EF">
        <w:rPr>
          <w:noProof/>
          <w:lang w:eastAsia="fr-FR"/>
        </w:rPr>
        <w:t xml:space="preserve"> </w:t>
      </w:r>
      <w:r w:rsidRPr="72486A58">
        <w:rPr>
          <w:noProof/>
          <w:lang w:eastAsia="fr-FR"/>
        </w:rPr>
        <w:t>amid a</w:t>
      </w:r>
      <w:r w:rsidRPr="72486A58" w:rsidDel="005F72EF">
        <w:rPr>
          <w:noProof/>
          <w:lang w:eastAsia="fr-FR"/>
        </w:rPr>
        <w:t xml:space="preserve"> </w:t>
      </w:r>
      <w:r w:rsidRPr="72486A58">
        <w:rPr>
          <w:noProof/>
          <w:lang w:eastAsia="fr-FR"/>
        </w:rPr>
        <w:t>smear campaign and surveillance concerns</w:t>
      </w:r>
      <w:r w:rsidRPr="72486A58" w:rsidDel="005F72EF">
        <w:rPr>
          <w:noProof/>
          <w:lang w:eastAsia="fr-FR"/>
        </w:rPr>
        <w:t xml:space="preserve"> </w:t>
      </w:r>
      <w:r w:rsidRPr="72486A58">
        <w:rPr>
          <w:noProof/>
          <w:lang w:eastAsia="fr-FR"/>
        </w:rPr>
        <w:t>and the forced removal of two journalists from a political event</w:t>
      </w:r>
      <w:r w:rsidRPr="72486A58">
        <w:rPr>
          <w:rStyle w:val="FootnoteReference"/>
          <w:noProof/>
          <w:lang w:eastAsia="fr-FR"/>
        </w:rPr>
        <w:footnoteReference w:id="168"/>
      </w:r>
      <w:r w:rsidRPr="72486A58">
        <w:rPr>
          <w:noProof/>
          <w:lang w:eastAsia="fr-FR"/>
        </w:rPr>
        <w:t xml:space="preserve">. The Mapping Media Freedom monitoring report flagged </w:t>
      </w:r>
      <w:r w:rsidRPr="00F14135">
        <w:rPr>
          <w:noProof/>
          <w:lang w:eastAsia="fr-FR"/>
        </w:rPr>
        <w:t>24 alerts</w:t>
      </w:r>
      <w:r w:rsidRPr="72486A58">
        <w:rPr>
          <w:noProof/>
          <w:lang w:eastAsia="fr-FR"/>
        </w:rPr>
        <w:t xml:space="preserve">, relating, among others, to various cases of access being denied to political events or information, political influence and pressure exerted on media outlets, defamation cases lodged by politicians, the use of public funds to target journalists via paid social media adverts and </w:t>
      </w:r>
      <w:r w:rsidRPr="72486A58">
        <w:rPr>
          <w:noProof/>
          <w:szCs w:val="24"/>
        </w:rPr>
        <w:t xml:space="preserve">Distributed Denial of Service </w:t>
      </w:r>
      <w:r w:rsidRPr="72486A58">
        <w:rPr>
          <w:noProof/>
          <w:lang w:eastAsia="fr-FR"/>
        </w:rPr>
        <w:t>attacks</w:t>
      </w:r>
      <w:r w:rsidRPr="72486A58">
        <w:rPr>
          <w:rStyle w:val="FootnoteReference"/>
          <w:noProof/>
          <w:lang w:eastAsia="fr-FR"/>
        </w:rPr>
        <w:footnoteReference w:id="169"/>
      </w:r>
      <w:r w:rsidRPr="72486A58">
        <w:rPr>
          <w:noProof/>
          <w:lang w:eastAsia="fr-FR"/>
        </w:rPr>
        <w:t>.</w:t>
      </w:r>
    </w:p>
    <w:p w14:paraId="04B57856" w14:textId="77777777" w:rsidR="00FC0AF3" w:rsidRPr="00FC0AF3" w:rsidRDefault="00FC0AF3" w:rsidP="001C58DC">
      <w:pPr>
        <w:pStyle w:val="Heading1"/>
        <w:numPr>
          <w:ilvl w:val="0"/>
          <w:numId w:val="33"/>
        </w:numPr>
        <w:spacing w:before="0"/>
        <w:rPr>
          <w:noProof/>
          <w:u w:val="single"/>
        </w:rPr>
      </w:pPr>
      <w:r w:rsidRPr="00FC0AF3">
        <w:rPr>
          <w:noProof/>
          <w:u w:val="single"/>
        </w:rPr>
        <w:t>Other Institutional Issues related to Checks and Balances</w:t>
      </w:r>
    </w:p>
    <w:p w14:paraId="40D63BC1" w14:textId="752BD778" w:rsidR="00FC0AF3" w:rsidRPr="006536D8" w:rsidRDefault="00FC0AF3" w:rsidP="00FC0AF3">
      <w:pPr>
        <w:rPr>
          <w:noProof/>
          <w:lang w:eastAsia="fr-FR"/>
        </w:rPr>
      </w:pPr>
      <w:r w:rsidRPr="72929BFF">
        <w:rPr>
          <w:b/>
          <w:bCs/>
          <w:noProof/>
          <w:lang w:eastAsia="fr-FR"/>
        </w:rPr>
        <w:t xml:space="preserve">The </w:t>
      </w:r>
      <w:r>
        <w:rPr>
          <w:b/>
          <w:bCs/>
          <w:noProof/>
          <w:lang w:eastAsia="fr-FR"/>
        </w:rPr>
        <w:t>former g</w:t>
      </w:r>
      <w:r w:rsidRPr="72929BFF">
        <w:rPr>
          <w:b/>
          <w:bCs/>
          <w:noProof/>
          <w:lang w:eastAsia="fr-FR"/>
        </w:rPr>
        <w:t>overnment continu</w:t>
      </w:r>
      <w:r>
        <w:rPr>
          <w:b/>
          <w:bCs/>
          <w:noProof/>
          <w:lang w:eastAsia="fr-FR"/>
        </w:rPr>
        <w:t>ed</w:t>
      </w:r>
      <w:r w:rsidRPr="72929BFF">
        <w:rPr>
          <w:b/>
          <w:bCs/>
          <w:noProof/>
          <w:lang w:eastAsia="fr-FR"/>
        </w:rPr>
        <w:t xml:space="preserve"> to use its emergency powers extensively</w:t>
      </w:r>
      <w:r>
        <w:rPr>
          <w:b/>
          <w:bCs/>
          <w:noProof/>
          <w:lang w:eastAsia="fr-FR"/>
        </w:rPr>
        <w:t xml:space="preserve"> until 13 May 2026</w:t>
      </w:r>
      <w:r w:rsidRPr="72929BFF">
        <w:rPr>
          <w:b/>
          <w:bCs/>
          <w:noProof/>
          <w:lang w:eastAsia="fr-FR"/>
        </w:rPr>
        <w:t xml:space="preserve">, undermining legal certainty and affecting businesses’ ability to operate in the single market. </w:t>
      </w:r>
      <w:r w:rsidRPr="72929BFF">
        <w:rPr>
          <w:noProof/>
          <w:lang w:eastAsia="fr-FR"/>
        </w:rPr>
        <w:t xml:space="preserve">The </w:t>
      </w:r>
      <w:r>
        <w:rPr>
          <w:noProof/>
          <w:lang w:eastAsia="fr-FR"/>
        </w:rPr>
        <w:t>former g</w:t>
      </w:r>
      <w:r w:rsidRPr="72929BFF">
        <w:rPr>
          <w:noProof/>
          <w:lang w:eastAsia="fr-FR"/>
        </w:rPr>
        <w:t>overnment further extended the ‘state of danger’, declared on 25 May 2022 ‘in view of the armed conflict and humanitarian catastrophe in Ukraine and with a view to averting their impact on Hungary’, until 13 May 2026</w:t>
      </w:r>
      <w:r w:rsidRPr="72929BFF">
        <w:rPr>
          <w:rStyle w:val="FootnoteReference"/>
          <w:noProof/>
          <w:lang w:eastAsia="fr-FR"/>
        </w:rPr>
        <w:footnoteReference w:id="170"/>
      </w:r>
      <w:r w:rsidRPr="72929BFF">
        <w:rPr>
          <w:noProof/>
          <w:lang w:eastAsia="fr-FR"/>
        </w:rPr>
        <w:t>. This allow</w:t>
      </w:r>
      <w:r>
        <w:rPr>
          <w:noProof/>
          <w:lang w:eastAsia="fr-FR"/>
        </w:rPr>
        <w:t>ed</w:t>
      </w:r>
      <w:r w:rsidRPr="72929BFF">
        <w:rPr>
          <w:noProof/>
          <w:lang w:eastAsia="fr-FR"/>
        </w:rPr>
        <w:t xml:space="preserve"> the </w:t>
      </w:r>
      <w:r>
        <w:rPr>
          <w:noProof/>
          <w:lang w:eastAsia="fr-FR"/>
        </w:rPr>
        <w:t>former g</w:t>
      </w:r>
      <w:r w:rsidRPr="72929BFF">
        <w:rPr>
          <w:noProof/>
          <w:lang w:eastAsia="fr-FR"/>
        </w:rPr>
        <w:t>overnment to override Acts of Parliament. Several emergency measures adopted in the reporting period ha</w:t>
      </w:r>
      <w:r w:rsidR="006353CD">
        <w:rPr>
          <w:noProof/>
          <w:lang w:eastAsia="fr-FR"/>
        </w:rPr>
        <w:t>d</w:t>
      </w:r>
      <w:r w:rsidRPr="72929BFF">
        <w:rPr>
          <w:noProof/>
          <w:lang w:eastAsia="fr-FR"/>
        </w:rPr>
        <w:t xml:space="preserve"> an impact on the business environment and appear unrelated to the ‘state of danger’</w:t>
      </w:r>
      <w:r w:rsidRPr="72929BFF">
        <w:rPr>
          <w:rStyle w:val="FootnoteReference"/>
          <w:noProof/>
          <w:lang w:eastAsia="fr-FR"/>
        </w:rPr>
        <w:footnoteReference w:id="171"/>
      </w:r>
      <w:r w:rsidRPr="72929BFF">
        <w:rPr>
          <w:noProof/>
          <w:lang w:eastAsia="fr-FR"/>
        </w:rPr>
        <w:t xml:space="preserve">. In 2025, the Constitutional Court did not make any substantive decisions regarding the constitutionality of emergency measures but rejected applications </w:t>
      </w:r>
      <w:r>
        <w:rPr>
          <w:noProof/>
          <w:lang w:eastAsia="fr-FR"/>
        </w:rPr>
        <w:t xml:space="preserve">in that regard </w:t>
      </w:r>
      <w:r w:rsidRPr="72929BFF">
        <w:rPr>
          <w:noProof/>
          <w:lang w:eastAsia="fr-FR"/>
        </w:rPr>
        <w:t>on formal grounds</w:t>
      </w:r>
      <w:r w:rsidRPr="72929BFF">
        <w:rPr>
          <w:rStyle w:val="FootnoteReference"/>
          <w:noProof/>
          <w:lang w:eastAsia="fr-FR"/>
        </w:rPr>
        <w:footnoteReference w:id="172"/>
      </w:r>
      <w:r w:rsidRPr="72929BFF">
        <w:rPr>
          <w:noProof/>
          <w:lang w:eastAsia="fr-FR"/>
        </w:rPr>
        <w:t>. Additionally, the governing majority elevated most of these emergency measures, which were intended to address a temporary exceptional situation, to the level of statutory law</w:t>
      </w:r>
      <w:r w:rsidRPr="72929BFF">
        <w:rPr>
          <w:rStyle w:val="FootnoteReference"/>
          <w:noProof/>
          <w:lang w:eastAsia="fr-FR"/>
        </w:rPr>
        <w:footnoteReference w:id="173"/>
      </w:r>
      <w:r w:rsidRPr="72929BFF">
        <w:rPr>
          <w:noProof/>
          <w:lang w:eastAsia="fr-FR"/>
        </w:rPr>
        <w:t xml:space="preserve">. </w:t>
      </w:r>
      <w:r w:rsidRPr="00BF42C0">
        <w:rPr>
          <w:noProof/>
          <w:lang w:eastAsia="fr-FR"/>
        </w:rPr>
        <w:t>Stakeholders reported that</w:t>
      </w:r>
      <w:r w:rsidRPr="00811870">
        <w:rPr>
          <w:noProof/>
          <w:lang w:eastAsia="fr-FR"/>
        </w:rPr>
        <w:t xml:space="preserve"> the</w:t>
      </w:r>
      <w:r w:rsidRPr="72929BFF">
        <w:rPr>
          <w:noProof/>
          <w:lang w:eastAsia="fr-FR"/>
        </w:rPr>
        <w:t xml:space="preserve"> extensive and prolonged use of the </w:t>
      </w:r>
      <w:r>
        <w:rPr>
          <w:noProof/>
          <w:lang w:eastAsia="fr-FR"/>
        </w:rPr>
        <w:t>former g</w:t>
      </w:r>
      <w:r w:rsidRPr="72929BFF">
        <w:rPr>
          <w:noProof/>
          <w:lang w:eastAsia="fr-FR"/>
        </w:rPr>
        <w:t>overnment’s emergency powers</w:t>
      </w:r>
      <w:r>
        <w:rPr>
          <w:noProof/>
          <w:lang w:eastAsia="fr-FR"/>
        </w:rPr>
        <w:t xml:space="preserve">, with measures </w:t>
      </w:r>
      <w:r w:rsidRPr="00C177EF">
        <w:rPr>
          <w:noProof/>
          <w:lang w:eastAsia="fr-FR"/>
        </w:rPr>
        <w:t>often adopted at short notice and amended frequently, u</w:t>
      </w:r>
      <w:r w:rsidRPr="72929BFF">
        <w:rPr>
          <w:noProof/>
          <w:lang w:eastAsia="fr-FR"/>
        </w:rPr>
        <w:t>ndermined legal certainty</w:t>
      </w:r>
      <w:r w:rsidRPr="72929BFF">
        <w:rPr>
          <w:rStyle w:val="FootnoteReference"/>
          <w:noProof/>
          <w:lang w:eastAsia="fr-FR"/>
        </w:rPr>
        <w:footnoteReference w:id="174"/>
      </w:r>
      <w:r w:rsidRPr="72929BFF">
        <w:rPr>
          <w:noProof/>
          <w:lang w:eastAsia="fr-FR"/>
        </w:rPr>
        <w:t>.</w:t>
      </w:r>
    </w:p>
    <w:p w14:paraId="75BF4403" w14:textId="25E20D6A" w:rsidR="00FC0AF3" w:rsidRPr="006536D8" w:rsidRDefault="00FC0AF3" w:rsidP="00FC0AF3">
      <w:pPr>
        <w:rPr>
          <w:noProof/>
          <w:lang w:eastAsia="fr-FR"/>
        </w:rPr>
      </w:pPr>
      <w:r w:rsidRPr="72929BFF">
        <w:rPr>
          <w:b/>
          <w:bCs/>
          <w:noProof/>
          <w:lang w:eastAsia="fr-FR"/>
        </w:rPr>
        <w:t xml:space="preserve">The law-making process remains a cause for concern, and certain important legislative processes have not been subject to public consultation requirements. </w:t>
      </w:r>
      <w:r w:rsidR="003019BD" w:rsidRPr="00EC2D52">
        <w:rPr>
          <w:noProof/>
          <w:lang w:eastAsia="fr-FR"/>
        </w:rPr>
        <w:t>Under t</w:t>
      </w:r>
      <w:r w:rsidR="003019BD">
        <w:rPr>
          <w:noProof/>
          <w:lang w:eastAsia="fr-FR"/>
        </w:rPr>
        <w:t xml:space="preserve">he former </w:t>
      </w:r>
      <w:r w:rsidR="007C1966">
        <w:rPr>
          <w:noProof/>
          <w:lang w:eastAsia="fr-FR"/>
        </w:rPr>
        <w:t>g</w:t>
      </w:r>
      <w:r w:rsidR="003019BD">
        <w:rPr>
          <w:noProof/>
          <w:lang w:eastAsia="fr-FR"/>
        </w:rPr>
        <w:t>overnment, p</w:t>
      </w:r>
      <w:r w:rsidRPr="4D172DD8">
        <w:rPr>
          <w:noProof/>
          <w:lang w:eastAsia="fr-FR"/>
        </w:rPr>
        <w:t xml:space="preserve">ublic consultations </w:t>
      </w:r>
      <w:r w:rsidR="003019BD">
        <w:rPr>
          <w:noProof/>
          <w:lang w:eastAsia="fr-FR"/>
        </w:rPr>
        <w:t>were</w:t>
      </w:r>
      <w:r w:rsidRPr="4D172DD8">
        <w:rPr>
          <w:noProof/>
          <w:lang w:eastAsia="fr-FR"/>
        </w:rPr>
        <w:t xml:space="preserve"> formalistic, and the legislative procedure offer</w:t>
      </w:r>
      <w:r w:rsidR="003019BD">
        <w:rPr>
          <w:noProof/>
          <w:lang w:eastAsia="fr-FR"/>
        </w:rPr>
        <w:t>ed</w:t>
      </w:r>
      <w:r w:rsidRPr="4D172DD8">
        <w:rPr>
          <w:noProof/>
          <w:lang w:eastAsia="fr-FR"/>
        </w:rPr>
        <w:t xml:space="preserve"> limited</w:t>
      </w:r>
      <w:r w:rsidRPr="4D172DD8" w:rsidDel="005F2FEE">
        <w:rPr>
          <w:noProof/>
          <w:lang w:eastAsia="fr-FR"/>
        </w:rPr>
        <w:t xml:space="preserve"> </w:t>
      </w:r>
      <w:r w:rsidRPr="4D172DD8">
        <w:rPr>
          <w:noProof/>
          <w:lang w:eastAsia="fr-FR"/>
        </w:rPr>
        <w:t>opportunities for stakeholders to effectively intervene or influence the decision-making process</w:t>
      </w:r>
      <w:r w:rsidRPr="4D172DD8">
        <w:rPr>
          <w:rStyle w:val="FootnoteReference"/>
          <w:noProof/>
          <w:lang w:eastAsia="fr-FR"/>
        </w:rPr>
        <w:footnoteReference w:id="175"/>
      </w:r>
      <w:r w:rsidRPr="4D172DD8">
        <w:rPr>
          <w:noProof/>
          <w:lang w:eastAsia="fr-FR"/>
        </w:rPr>
        <w:t xml:space="preserve">. </w:t>
      </w:r>
      <w:r w:rsidRPr="00F555AE">
        <w:rPr>
          <w:noProof/>
          <w:lang w:eastAsia="fr-FR"/>
        </w:rPr>
        <w:t xml:space="preserve">According to stakeholders, compliance with public consultation rules </w:t>
      </w:r>
      <w:r w:rsidR="003019BD">
        <w:rPr>
          <w:noProof/>
          <w:lang w:eastAsia="fr-FR"/>
        </w:rPr>
        <w:t>wa</w:t>
      </w:r>
      <w:r w:rsidRPr="00F555AE">
        <w:rPr>
          <w:noProof/>
          <w:lang w:eastAsia="fr-FR"/>
        </w:rPr>
        <w:t>s neither effectively monitored nor enforced</w:t>
      </w:r>
      <w:r w:rsidRPr="00F555AE">
        <w:rPr>
          <w:rStyle w:val="FootnoteReference"/>
          <w:noProof/>
          <w:lang w:eastAsia="fr-FR"/>
        </w:rPr>
        <w:footnoteReference w:id="176"/>
      </w:r>
      <w:r w:rsidRPr="00F555AE">
        <w:rPr>
          <w:noProof/>
          <w:lang w:eastAsia="fr-FR"/>
        </w:rPr>
        <w:t xml:space="preserve">. The quality of the impact assessments of draft legislation and the summaries published during the public consultation process </w:t>
      </w:r>
      <w:r w:rsidR="001D52DD">
        <w:rPr>
          <w:noProof/>
          <w:lang w:eastAsia="fr-FR"/>
        </w:rPr>
        <w:t>were</w:t>
      </w:r>
      <w:r w:rsidR="001D52DD" w:rsidRPr="00F555AE">
        <w:rPr>
          <w:noProof/>
          <w:lang w:eastAsia="fr-FR"/>
        </w:rPr>
        <w:t xml:space="preserve"> </w:t>
      </w:r>
      <w:r w:rsidRPr="00F555AE">
        <w:rPr>
          <w:noProof/>
          <w:lang w:eastAsia="fr-FR"/>
        </w:rPr>
        <w:t>criticised by stakeholders for being inadequate</w:t>
      </w:r>
      <w:r w:rsidRPr="00F555AE">
        <w:rPr>
          <w:rStyle w:val="FootnoteReference"/>
          <w:noProof/>
          <w:lang w:eastAsia="fr-FR"/>
        </w:rPr>
        <w:footnoteReference w:id="177"/>
      </w:r>
      <w:r w:rsidRPr="00F555AE">
        <w:rPr>
          <w:noProof/>
          <w:lang w:eastAsia="fr-FR"/>
        </w:rPr>
        <w:t xml:space="preserve">. </w:t>
      </w:r>
      <w:r w:rsidR="00D7647E" w:rsidRPr="00D7647E">
        <w:rPr>
          <w:noProof/>
          <w:lang w:eastAsia="fr-FR"/>
        </w:rPr>
        <w:t xml:space="preserve">The omnibus law of June 2026 extended the public consultation requirement to cover </w:t>
      </w:r>
      <w:r w:rsidR="0003036F">
        <w:rPr>
          <w:noProof/>
          <w:lang w:eastAsia="fr-FR"/>
        </w:rPr>
        <w:t>specific topics</w:t>
      </w:r>
      <w:r w:rsidR="00340851">
        <w:rPr>
          <w:rStyle w:val="FootnoteReference"/>
          <w:noProof/>
          <w:lang w:eastAsia="fr-FR"/>
        </w:rPr>
        <w:footnoteReference w:id="178"/>
      </w:r>
      <w:r w:rsidR="0062418B">
        <w:rPr>
          <w:noProof/>
          <w:lang w:eastAsia="fr-FR"/>
        </w:rPr>
        <w:t>.</w:t>
      </w:r>
      <w:r w:rsidR="00B604C8">
        <w:rPr>
          <w:noProof/>
          <w:lang w:eastAsia="fr-FR"/>
        </w:rPr>
        <w:t xml:space="preserve"> </w:t>
      </w:r>
      <w:r w:rsidR="00D2559C" w:rsidRPr="00D2559C">
        <w:rPr>
          <w:noProof/>
          <w:lang w:eastAsia="fr-FR"/>
        </w:rPr>
        <w:t xml:space="preserve">In May 2026, the new Parliament established a new Committee on Social Participation </w:t>
      </w:r>
      <w:r w:rsidR="00A076B8">
        <w:rPr>
          <w:noProof/>
          <w:lang w:eastAsia="fr-FR"/>
        </w:rPr>
        <w:t xml:space="preserve">with the intention of </w:t>
      </w:r>
      <w:r w:rsidR="00D2559C" w:rsidRPr="00D2559C">
        <w:rPr>
          <w:noProof/>
          <w:lang w:eastAsia="fr-FR"/>
        </w:rPr>
        <w:t>facilitat</w:t>
      </w:r>
      <w:r w:rsidR="00A076B8">
        <w:rPr>
          <w:noProof/>
          <w:lang w:eastAsia="fr-FR"/>
        </w:rPr>
        <w:t>ing</w:t>
      </w:r>
      <w:r w:rsidR="00D2559C" w:rsidRPr="00D2559C">
        <w:rPr>
          <w:noProof/>
          <w:lang w:eastAsia="fr-FR"/>
        </w:rPr>
        <w:t xml:space="preserve"> stakeholder involvement in the legislative process</w:t>
      </w:r>
      <w:r w:rsidR="002B24A5">
        <w:rPr>
          <w:rStyle w:val="FootnoteReference"/>
          <w:noProof/>
          <w:lang w:eastAsia="fr-FR"/>
        </w:rPr>
        <w:footnoteReference w:id="179"/>
      </w:r>
      <w:r w:rsidR="00D2559C" w:rsidRPr="00D2559C">
        <w:rPr>
          <w:noProof/>
          <w:lang w:eastAsia="fr-FR"/>
        </w:rPr>
        <w:t>.</w:t>
      </w:r>
      <w:r w:rsidR="00186C6E" w:rsidRPr="00186C6E">
        <w:rPr>
          <w:noProof/>
          <w:lang w:eastAsia="fr-FR"/>
        </w:rPr>
        <w:t xml:space="preserve"> </w:t>
      </w:r>
      <w:r w:rsidRPr="00F555AE">
        <w:rPr>
          <w:noProof/>
          <w:lang w:eastAsia="fr-FR"/>
        </w:rPr>
        <w:t>In 2025, the National Assembly adopted</w:t>
      </w:r>
      <w:r w:rsidRPr="4D172DD8">
        <w:rPr>
          <w:noProof/>
          <w:lang w:eastAsia="fr-FR"/>
        </w:rPr>
        <w:t xml:space="preserve"> two laws in urgent procedure</w:t>
      </w:r>
      <w:r w:rsidRPr="4D172DD8">
        <w:rPr>
          <w:rStyle w:val="FootnoteReference"/>
          <w:noProof/>
          <w:lang w:eastAsia="fr-FR"/>
        </w:rPr>
        <w:footnoteReference w:id="180"/>
      </w:r>
      <w:r w:rsidRPr="4D172DD8">
        <w:rPr>
          <w:noProof/>
          <w:lang w:eastAsia="fr-FR"/>
        </w:rPr>
        <w:t xml:space="preserve"> and five laws in exceptional procedure</w:t>
      </w:r>
      <w:r w:rsidRPr="4D172DD8">
        <w:rPr>
          <w:rStyle w:val="FootnoteReference"/>
          <w:noProof/>
          <w:lang w:eastAsia="fr-FR"/>
        </w:rPr>
        <w:footnoteReference w:id="181"/>
      </w:r>
      <w:r w:rsidRPr="4D172DD8">
        <w:rPr>
          <w:noProof/>
          <w:lang w:eastAsia="fr-FR"/>
        </w:rPr>
        <w:t xml:space="preserve">. </w:t>
      </w:r>
      <w:r w:rsidR="0068138A">
        <w:rPr>
          <w:noProof/>
          <w:lang w:eastAsia="fr-FR"/>
        </w:rPr>
        <w:t xml:space="preserve">On </w:t>
      </w:r>
      <w:r w:rsidR="005C4768">
        <w:rPr>
          <w:noProof/>
          <w:lang w:eastAsia="fr-FR"/>
        </w:rPr>
        <w:t>23</w:t>
      </w:r>
      <w:r w:rsidR="0068138A">
        <w:rPr>
          <w:noProof/>
          <w:lang w:eastAsia="fr-FR"/>
        </w:rPr>
        <w:t xml:space="preserve"> </w:t>
      </w:r>
      <w:r w:rsidR="007C0701">
        <w:rPr>
          <w:noProof/>
          <w:lang w:eastAsia="fr-FR"/>
        </w:rPr>
        <w:t>June 2026, Parl</w:t>
      </w:r>
      <w:r w:rsidR="00D713C9">
        <w:rPr>
          <w:noProof/>
          <w:lang w:eastAsia="fr-FR"/>
        </w:rPr>
        <w:t xml:space="preserve">iament extended the possibility </w:t>
      </w:r>
      <w:r w:rsidR="00A846FD">
        <w:rPr>
          <w:noProof/>
          <w:lang w:eastAsia="fr-FR"/>
        </w:rPr>
        <w:t xml:space="preserve">of </w:t>
      </w:r>
      <w:r w:rsidR="00F15678">
        <w:rPr>
          <w:noProof/>
          <w:lang w:eastAsia="fr-FR"/>
        </w:rPr>
        <w:t xml:space="preserve">such deviations from the general </w:t>
      </w:r>
      <w:r w:rsidR="002E30E3">
        <w:rPr>
          <w:noProof/>
          <w:lang w:eastAsia="fr-FR"/>
        </w:rPr>
        <w:t>procedural rules</w:t>
      </w:r>
      <w:r w:rsidR="00E70271">
        <w:rPr>
          <w:noProof/>
          <w:lang w:eastAsia="fr-FR"/>
        </w:rPr>
        <w:t xml:space="preserve"> until </w:t>
      </w:r>
      <w:r w:rsidR="00191607">
        <w:rPr>
          <w:noProof/>
          <w:lang w:eastAsia="fr-FR"/>
        </w:rPr>
        <w:t xml:space="preserve">the end of </w:t>
      </w:r>
      <w:r w:rsidR="00E12DD6">
        <w:rPr>
          <w:noProof/>
          <w:lang w:eastAsia="fr-FR"/>
        </w:rPr>
        <w:t>the year</w:t>
      </w:r>
      <w:r w:rsidR="00526588">
        <w:rPr>
          <w:rStyle w:val="FootnoteReference"/>
          <w:noProof/>
          <w:lang w:eastAsia="fr-FR"/>
        </w:rPr>
        <w:footnoteReference w:id="182"/>
      </w:r>
      <w:r w:rsidR="002E30E3">
        <w:rPr>
          <w:noProof/>
          <w:lang w:eastAsia="fr-FR"/>
        </w:rPr>
        <w:t xml:space="preserve">. </w:t>
      </w:r>
      <w:r w:rsidRPr="4D172DD8">
        <w:rPr>
          <w:noProof/>
          <w:lang w:eastAsia="fr-FR"/>
        </w:rPr>
        <w:t xml:space="preserve">The </w:t>
      </w:r>
      <w:r>
        <w:rPr>
          <w:noProof/>
          <w:lang w:eastAsia="fr-FR"/>
        </w:rPr>
        <w:t>former g</w:t>
      </w:r>
      <w:r w:rsidRPr="4D172DD8">
        <w:rPr>
          <w:noProof/>
          <w:lang w:eastAsia="fr-FR"/>
        </w:rPr>
        <w:t>overnment continued its practice of including only technical amendments in draft laws, before introducing new, substantive amendments to the bill at a late stage in the legislative process through the Committee on Legislation, just before the final parliamentary vote. This</w:t>
      </w:r>
      <w:r w:rsidRPr="72929BFF">
        <w:rPr>
          <w:noProof/>
          <w:lang w:eastAsia="fr-FR"/>
        </w:rPr>
        <w:t xml:space="preserve"> prevent</w:t>
      </w:r>
      <w:r w:rsidR="00256F9A">
        <w:rPr>
          <w:noProof/>
          <w:lang w:eastAsia="fr-FR"/>
        </w:rPr>
        <w:t>ed</w:t>
      </w:r>
      <w:r w:rsidRPr="4D172DD8">
        <w:rPr>
          <w:noProof/>
          <w:lang w:eastAsia="fr-FR"/>
        </w:rPr>
        <w:t xml:space="preserve"> regular parliamentary debate and public consultation. Cardinal acts are still being used beyond what is strictly necessary, and even in respect of detailed legislation</w:t>
      </w:r>
      <w:r>
        <w:rPr>
          <w:noProof/>
          <w:lang w:eastAsia="fr-FR"/>
        </w:rPr>
        <w:t>;</w:t>
      </w:r>
      <w:r w:rsidRPr="4D172DD8">
        <w:rPr>
          <w:noProof/>
          <w:lang w:eastAsia="fr-FR"/>
        </w:rPr>
        <w:t xml:space="preserve"> </w:t>
      </w:r>
      <w:r>
        <w:rPr>
          <w:noProof/>
          <w:lang w:eastAsia="fr-FR"/>
        </w:rPr>
        <w:t>t</w:t>
      </w:r>
      <w:r w:rsidRPr="4D172DD8">
        <w:rPr>
          <w:noProof/>
          <w:lang w:eastAsia="fr-FR"/>
        </w:rPr>
        <w:t>his makes it difficult to introduce reforms in the future as their adoption or amendment requires two-thirds of the votes of the members of Parliament present</w:t>
      </w:r>
      <w:r w:rsidRPr="4D172DD8">
        <w:rPr>
          <w:rStyle w:val="FootnoteReference"/>
          <w:noProof/>
          <w:lang w:eastAsia="fr-FR"/>
        </w:rPr>
        <w:footnoteReference w:id="183"/>
      </w:r>
      <w:r w:rsidRPr="4D172DD8">
        <w:rPr>
          <w:noProof/>
          <w:lang w:eastAsia="fr-FR"/>
        </w:rPr>
        <w:t>.</w:t>
      </w:r>
    </w:p>
    <w:p w14:paraId="45A10C51" w14:textId="77777777" w:rsidR="00FC0AF3" w:rsidRPr="006536D8" w:rsidRDefault="00FC0AF3" w:rsidP="00FC0AF3">
      <w:pPr>
        <w:rPr>
          <w:noProof/>
          <w:lang w:eastAsia="fr-FR"/>
        </w:rPr>
      </w:pPr>
      <w:r>
        <w:rPr>
          <w:b/>
          <w:bCs/>
          <w:noProof/>
          <w:lang w:eastAsia="fr-FR"/>
        </w:rPr>
        <w:t>Less than half of companies surveyed in Hungary express confidence in the effectiveness of investment protection.</w:t>
      </w:r>
      <w:r w:rsidRPr="007B16A4">
        <w:rPr>
          <w:rFonts w:eastAsia="Calibri"/>
          <w:noProof/>
        </w:rPr>
        <w:t xml:space="preserve"> </w:t>
      </w:r>
      <w:r>
        <w:rPr>
          <w:rFonts w:eastAsia="Calibri"/>
          <w:noProof/>
        </w:rPr>
        <w:t>49</w:t>
      </w:r>
      <w:r w:rsidRPr="007B16A4">
        <w:rPr>
          <w:rFonts w:eastAsia="Calibri"/>
          <w:noProof/>
        </w:rPr>
        <w:t xml:space="preserve">% of companies are very or fairly confident that investments are </w:t>
      </w:r>
      <w:r w:rsidRPr="0005528C">
        <w:rPr>
          <w:rFonts w:eastAsia="Calibri"/>
          <w:noProof/>
        </w:rPr>
        <w:t>protected by law and courts, a figure which has slightly increased in comparison with 2025 (46%)</w:t>
      </w:r>
      <w:r w:rsidRPr="0005528C">
        <w:rPr>
          <w:rFonts w:eastAsia="Calibri"/>
          <w:noProof/>
          <w:vertAlign w:val="superscript"/>
        </w:rPr>
        <w:footnoteReference w:id="184"/>
      </w:r>
      <w:r w:rsidRPr="0005528C">
        <w:rPr>
          <w:rFonts w:eastAsia="Calibri"/>
          <w:noProof/>
        </w:rPr>
        <w:t>. The main reason among companies for their lack of confidence are the frequent changes in legislation or concerns about quality of the law</w:t>
      </w:r>
      <w:r>
        <w:rPr>
          <w:rFonts w:eastAsia="Calibri"/>
          <w:noProof/>
        </w:rPr>
        <w:t>-</w:t>
      </w:r>
      <w:r w:rsidRPr="0005528C">
        <w:rPr>
          <w:rFonts w:eastAsia="Calibri"/>
          <w:noProof/>
        </w:rPr>
        <w:t>making process (28%)</w:t>
      </w:r>
      <w:r w:rsidRPr="0005528C">
        <w:rPr>
          <w:rFonts w:eastAsia="Calibri"/>
          <w:noProof/>
          <w:vertAlign w:val="superscript"/>
        </w:rPr>
        <w:footnoteReference w:id="185"/>
      </w:r>
      <w:r w:rsidRPr="0005528C">
        <w:rPr>
          <w:rFonts w:eastAsia="Calibri"/>
          <w:noProof/>
        </w:rPr>
        <w:t>. As regards</w:t>
      </w:r>
      <w:r w:rsidRPr="0005528C">
        <w:rPr>
          <w:rFonts w:eastAsia="Calibri"/>
          <w:noProof/>
          <w:lang w:val="bg-BG"/>
        </w:rPr>
        <w:t xml:space="preserve"> </w:t>
      </w:r>
      <w:r w:rsidRPr="0005528C">
        <w:rPr>
          <w:rFonts w:eastAsia="Calibri"/>
          <w:noProof/>
        </w:rPr>
        <w:t>authorities</w:t>
      </w:r>
      <w:r w:rsidRPr="0005528C">
        <w:rPr>
          <w:rFonts w:eastAsia="Calibri"/>
          <w:noProof/>
          <w:lang w:val="bg-BG"/>
        </w:rPr>
        <w:t xml:space="preserve"> </w:t>
      </w:r>
      <w:r w:rsidRPr="0005528C">
        <w:rPr>
          <w:rFonts w:eastAsia="Calibri"/>
          <w:noProof/>
          <w:lang w:val="en-IE"/>
        </w:rPr>
        <w:t>relevant for economic operators, 21</w:t>
      </w:r>
      <w:r w:rsidRPr="0005528C">
        <w:rPr>
          <w:rFonts w:eastAsia="Calibri"/>
          <w:noProof/>
        </w:rPr>
        <w:t>% of companies perceive the level of</w:t>
      </w:r>
      <w:r w:rsidRPr="007B16A4">
        <w:rPr>
          <w:rFonts w:eastAsia="Calibri"/>
          <w:noProof/>
        </w:rPr>
        <w:t xml:space="preserve"> independence of the national competition authority (</w:t>
      </w:r>
      <w:r w:rsidRPr="007B16A4">
        <w:rPr>
          <w:noProof/>
          <w:lang w:eastAsia="en-IE"/>
        </w:rPr>
        <w:t>Competition Authority</w:t>
      </w:r>
      <w:r w:rsidRPr="007B16A4">
        <w:rPr>
          <w:rFonts w:eastAsia="Calibri"/>
          <w:noProof/>
        </w:rPr>
        <w:t>) as very or fairly good</w:t>
      </w:r>
      <w:r>
        <w:rPr>
          <w:rFonts w:eastAsia="Calibri"/>
          <w:noProof/>
        </w:rPr>
        <w:t>, a figure which has significantly decreased in comparison with 2025 (37%)</w:t>
      </w:r>
      <w:r w:rsidRPr="007B16A4">
        <w:rPr>
          <w:rFonts w:eastAsia="Calibri"/>
          <w:noProof/>
          <w:vertAlign w:val="superscript"/>
        </w:rPr>
        <w:footnoteReference w:id="186"/>
      </w:r>
      <w:r w:rsidRPr="007B16A4">
        <w:rPr>
          <w:rFonts w:eastAsia="Calibri"/>
          <w:noProof/>
        </w:rPr>
        <w:t xml:space="preserve">. </w:t>
      </w:r>
      <w:r w:rsidRPr="00FA4E22">
        <w:rPr>
          <w:rFonts w:eastAsia="Calibri"/>
          <w:noProof/>
          <w14:ligatures w14:val="standardContextual"/>
        </w:rPr>
        <w:t xml:space="preserve">The </w:t>
      </w:r>
      <w:r w:rsidRPr="00332A4F">
        <w:rPr>
          <w:rFonts w:eastAsia="Calibri"/>
          <w:i/>
          <w:iCs/>
          <w:noProof/>
          <w14:ligatures w14:val="standardContextual"/>
        </w:rPr>
        <w:t>Kúria</w:t>
      </w:r>
      <w:r w:rsidRPr="00FA4E22">
        <w:rPr>
          <w:rFonts w:eastAsia="Calibri"/>
          <w:noProof/>
          <w14:ligatures w14:val="standardContextual"/>
        </w:rPr>
        <w:t xml:space="preserve"> has jurisdiction in </w:t>
      </w:r>
      <w:r w:rsidRPr="00421DE2">
        <w:rPr>
          <w:rFonts w:eastAsia="Calibri"/>
          <w:noProof/>
          <w14:ligatures w14:val="standardContextual"/>
        </w:rPr>
        <w:t>several</w:t>
      </w:r>
      <w:r w:rsidRPr="00FA4E22">
        <w:rPr>
          <w:rFonts w:eastAsia="Calibri"/>
          <w:noProof/>
          <w14:ligatures w14:val="standardContextual"/>
        </w:rPr>
        <w:t xml:space="preserve"> business-related cases, including in cases related to </w:t>
      </w:r>
      <w:r w:rsidRPr="00421DE2">
        <w:rPr>
          <w:rFonts w:eastAsia="Calibri"/>
          <w:noProof/>
          <w14:ligatures w14:val="standardContextual"/>
        </w:rPr>
        <w:t>public procurement, public concessions, public contracts and economic regulation</w:t>
      </w:r>
      <w:r w:rsidRPr="00FA4E22">
        <w:rPr>
          <w:rFonts w:eastAsia="Calibri"/>
          <w:noProof/>
          <w14:ligatures w14:val="standardContextual"/>
        </w:rPr>
        <w:t xml:space="preserve">. A number of judicial mechanisms to improve efficiency are available in these cases, including </w:t>
      </w:r>
      <w:r w:rsidRPr="00421DE2">
        <w:rPr>
          <w:rFonts w:eastAsia="Calibri"/>
          <w:noProof/>
          <w14:ligatures w14:val="standardContextual"/>
        </w:rPr>
        <w:t>the possibility to apply interim measures and the consolidation of multiple appeals</w:t>
      </w:r>
      <w:r w:rsidRPr="00421DE2">
        <w:rPr>
          <w:rStyle w:val="FootnoteReference"/>
          <w:rFonts w:eastAsia="Calibri"/>
          <w:noProof/>
          <w14:ligatures w14:val="standardContextual"/>
        </w:rPr>
        <w:footnoteReference w:id="187"/>
      </w:r>
      <w:r w:rsidRPr="00FA4E22">
        <w:rPr>
          <w:rFonts w:eastAsia="Calibri"/>
          <w:noProof/>
          <w14:ligatures w14:val="standardContextual"/>
        </w:rPr>
        <w:t>.</w:t>
      </w:r>
    </w:p>
    <w:p w14:paraId="4E62688D" w14:textId="753E47AA" w:rsidR="00FC0AF3" w:rsidRPr="007B47EC" w:rsidRDefault="00FC0AF3" w:rsidP="00FC0AF3">
      <w:pPr>
        <w:rPr>
          <w:noProof/>
          <w:lang w:eastAsia="fr-FR"/>
        </w:rPr>
      </w:pPr>
      <w:r w:rsidRPr="78E53FD9">
        <w:rPr>
          <w:b/>
          <w:noProof/>
          <w:lang w:eastAsia="fr-FR"/>
        </w:rPr>
        <w:t>Foreign companies, including those from other EU Member States, operating in strategic sectors, continue to face intensified regulatory pressure from state action.</w:t>
      </w:r>
      <w:r w:rsidRPr="78E53FD9">
        <w:rPr>
          <w:noProof/>
          <w:lang w:eastAsia="fr-FR"/>
        </w:rPr>
        <w:t xml:space="preserve"> </w:t>
      </w:r>
      <w:r>
        <w:rPr>
          <w:noProof/>
          <w:lang w:eastAsia="fr-FR"/>
        </w:rPr>
        <w:t>Stakeholders report that, o</w:t>
      </w:r>
      <w:r w:rsidRPr="78E53FD9">
        <w:rPr>
          <w:noProof/>
          <w:lang w:eastAsia="fr-FR"/>
        </w:rPr>
        <w:t xml:space="preserve">ver recent years, a consistent pattern of targeted legislation and administrative practice </w:t>
      </w:r>
      <w:r>
        <w:rPr>
          <w:noProof/>
          <w:lang w:eastAsia="fr-FR"/>
        </w:rPr>
        <w:t xml:space="preserve">has </w:t>
      </w:r>
      <w:r w:rsidRPr="78E53FD9">
        <w:rPr>
          <w:noProof/>
          <w:lang w:eastAsia="fr-FR"/>
        </w:rPr>
        <w:t>disproportionately affect</w:t>
      </w:r>
      <w:r>
        <w:rPr>
          <w:noProof/>
          <w:lang w:eastAsia="fr-FR"/>
        </w:rPr>
        <w:t>ed</w:t>
      </w:r>
      <w:r w:rsidRPr="78E53FD9">
        <w:rPr>
          <w:noProof/>
          <w:lang w:eastAsia="fr-FR"/>
        </w:rPr>
        <w:t xml:space="preserve"> foreign-owned companies and cumulatively undermine</w:t>
      </w:r>
      <w:r>
        <w:rPr>
          <w:noProof/>
          <w:lang w:eastAsia="fr-FR"/>
        </w:rPr>
        <w:t>d</w:t>
      </w:r>
      <w:r w:rsidRPr="78E53FD9">
        <w:rPr>
          <w:noProof/>
          <w:lang w:eastAsia="fr-FR"/>
        </w:rPr>
        <w:t xml:space="preserve"> legal certainty, market access and the freedom of establishment. These measures span over multiple sectors</w:t>
      </w:r>
      <w:r>
        <w:rPr>
          <w:noProof/>
          <w:lang w:eastAsia="fr-FR"/>
        </w:rPr>
        <w:t xml:space="preserve"> </w:t>
      </w:r>
      <w:r w:rsidRPr="78E53FD9">
        <w:rPr>
          <w:noProof/>
          <w:lang w:eastAsia="fr-FR"/>
        </w:rPr>
        <w:t>and have resulted in sustained de-investment, distortion of competition and a progressive deterioration of investor confidence. A core concern is the persistence of tailor-made sectoral legislation and special taxes that effectively remove the financial base of foreign investors, adversely affecting the operation of the single market</w:t>
      </w:r>
      <w:r>
        <w:rPr>
          <w:rStyle w:val="FootnoteReference"/>
          <w:noProof/>
          <w:lang w:eastAsia="fr-FR"/>
        </w:rPr>
        <w:footnoteReference w:id="188"/>
      </w:r>
      <w:r w:rsidRPr="78E53FD9">
        <w:rPr>
          <w:noProof/>
          <w:lang w:eastAsia="fr-FR"/>
        </w:rPr>
        <w:t xml:space="preserve">. In the food retail sector, </w:t>
      </w:r>
      <w:r w:rsidR="002519F1">
        <w:rPr>
          <w:noProof/>
          <w:lang w:eastAsia="fr-FR"/>
        </w:rPr>
        <w:t>market leader</w:t>
      </w:r>
      <w:r w:rsidR="0072743E">
        <w:rPr>
          <w:noProof/>
          <w:lang w:eastAsia="fr-FR"/>
        </w:rPr>
        <w:t>s,</w:t>
      </w:r>
      <w:r w:rsidR="002519F1">
        <w:rPr>
          <w:noProof/>
          <w:lang w:eastAsia="fr-FR"/>
        </w:rPr>
        <w:t xml:space="preserve"> </w:t>
      </w:r>
      <w:r w:rsidR="00D534EE">
        <w:rPr>
          <w:noProof/>
          <w:lang w:eastAsia="fr-FR"/>
        </w:rPr>
        <w:t>which are</w:t>
      </w:r>
      <w:r w:rsidR="002519F1">
        <w:rPr>
          <w:noProof/>
          <w:lang w:eastAsia="fr-FR"/>
        </w:rPr>
        <w:t xml:space="preserve"> </w:t>
      </w:r>
      <w:r w:rsidR="0029111B">
        <w:rPr>
          <w:noProof/>
          <w:lang w:eastAsia="fr-FR"/>
        </w:rPr>
        <w:t xml:space="preserve">predominantly </w:t>
      </w:r>
      <w:r w:rsidRPr="78E53FD9">
        <w:rPr>
          <w:noProof/>
          <w:lang w:eastAsia="fr-FR"/>
        </w:rPr>
        <w:t xml:space="preserve">multinational </w:t>
      </w:r>
      <w:r w:rsidR="00253AF1" w:rsidRPr="00435D30">
        <w:rPr>
          <w:noProof/>
          <w:lang w:eastAsia="fr-FR"/>
        </w:rPr>
        <w:t>companies</w:t>
      </w:r>
      <w:r w:rsidR="00D534EE" w:rsidRPr="00435D30">
        <w:rPr>
          <w:noProof/>
          <w:lang w:eastAsia="fr-FR"/>
        </w:rPr>
        <w:t>,</w:t>
      </w:r>
      <w:r w:rsidR="0029111B" w:rsidRPr="00435D30">
        <w:rPr>
          <w:noProof/>
          <w:lang w:eastAsia="fr-FR"/>
        </w:rPr>
        <w:t xml:space="preserve"> </w:t>
      </w:r>
      <w:r w:rsidR="00012542" w:rsidRPr="00435D30">
        <w:rPr>
          <w:noProof/>
          <w:lang w:eastAsia="fr-FR"/>
        </w:rPr>
        <w:t xml:space="preserve">continue to be </w:t>
      </w:r>
      <w:r w:rsidR="00012542" w:rsidRPr="00C068BA">
        <w:rPr>
          <w:noProof/>
          <w:lang w:eastAsia="fr-FR"/>
        </w:rPr>
        <w:t>affected</w:t>
      </w:r>
      <w:r w:rsidR="00012542" w:rsidRPr="00435D30">
        <w:rPr>
          <w:noProof/>
          <w:lang w:eastAsia="fr-FR"/>
        </w:rPr>
        <w:t xml:space="preserve"> by</w:t>
      </w:r>
      <w:r w:rsidRPr="00435D30">
        <w:rPr>
          <w:noProof/>
          <w:lang w:eastAsia="fr-FR"/>
        </w:rPr>
        <w:t xml:space="preserve"> the progressive retail tax, while Hungarian</w:t>
      </w:r>
      <w:r w:rsidRPr="78E53FD9">
        <w:rPr>
          <w:noProof/>
          <w:lang w:eastAsia="fr-FR"/>
        </w:rPr>
        <w:t xml:space="preserve"> cooperatives benefit from significantly lower taxation due to a preferential treatment of their store networks. On </w:t>
      </w:r>
      <w:r>
        <w:rPr>
          <w:noProof/>
          <w:lang w:eastAsia="fr-FR"/>
        </w:rPr>
        <w:t>29</w:t>
      </w:r>
      <w:r w:rsidRPr="78E53FD9">
        <w:rPr>
          <w:noProof/>
          <w:lang w:eastAsia="fr-FR"/>
        </w:rPr>
        <w:t xml:space="preserve"> </w:t>
      </w:r>
      <w:r>
        <w:rPr>
          <w:noProof/>
          <w:lang w:eastAsia="fr-FR"/>
        </w:rPr>
        <w:t>April</w:t>
      </w:r>
      <w:r w:rsidRPr="78E53FD9">
        <w:rPr>
          <w:noProof/>
          <w:lang w:eastAsia="fr-FR"/>
        </w:rPr>
        <w:t xml:space="preserve"> 202</w:t>
      </w:r>
      <w:r>
        <w:rPr>
          <w:noProof/>
          <w:lang w:eastAsia="fr-FR"/>
        </w:rPr>
        <w:t>6</w:t>
      </w:r>
      <w:r w:rsidRPr="78E53FD9">
        <w:rPr>
          <w:noProof/>
          <w:lang w:eastAsia="fr-FR"/>
        </w:rPr>
        <w:t xml:space="preserve">, the Commission decided to </w:t>
      </w:r>
      <w:r>
        <w:rPr>
          <w:noProof/>
          <w:lang w:eastAsia="fr-FR"/>
        </w:rPr>
        <w:t>refer</w:t>
      </w:r>
      <w:r w:rsidRPr="78E53FD9">
        <w:rPr>
          <w:noProof/>
          <w:lang w:eastAsia="fr-FR"/>
        </w:rPr>
        <w:t xml:space="preserve"> Hungary </w:t>
      </w:r>
      <w:r>
        <w:rPr>
          <w:noProof/>
          <w:lang w:eastAsia="fr-FR"/>
        </w:rPr>
        <w:t xml:space="preserve">to the Court of Justice </w:t>
      </w:r>
      <w:r w:rsidRPr="78E53FD9">
        <w:rPr>
          <w:noProof/>
          <w:lang w:eastAsia="fr-FR"/>
        </w:rPr>
        <w:t xml:space="preserve">for failing to </w:t>
      </w:r>
      <w:r>
        <w:rPr>
          <w:noProof/>
          <w:lang w:eastAsia="fr-FR"/>
        </w:rPr>
        <w:t>abolish</w:t>
      </w:r>
      <w:r w:rsidRPr="78E53FD9">
        <w:rPr>
          <w:noProof/>
          <w:lang w:eastAsia="fr-FR"/>
        </w:rPr>
        <w:t xml:space="preserve"> its retail tax regime</w:t>
      </w:r>
      <w:r w:rsidRPr="78E53FD9">
        <w:rPr>
          <w:rStyle w:val="FootnoteReference"/>
          <w:noProof/>
          <w:lang w:eastAsia="fr-FR"/>
        </w:rPr>
        <w:footnoteReference w:id="189"/>
      </w:r>
      <w:r w:rsidRPr="78E53FD9">
        <w:rPr>
          <w:noProof/>
          <w:lang w:eastAsia="fr-FR"/>
        </w:rPr>
        <w:t>. Price and price margin regulation regimes further exacerbate the situation</w:t>
      </w:r>
      <w:r w:rsidRPr="78E53FD9">
        <w:rPr>
          <w:rStyle w:val="FootnoteReference"/>
          <w:noProof/>
          <w:lang w:eastAsia="fr-FR"/>
        </w:rPr>
        <w:footnoteReference w:id="190"/>
      </w:r>
      <w:r w:rsidRPr="78E53FD9">
        <w:rPr>
          <w:noProof/>
          <w:lang w:eastAsia="fr-FR"/>
        </w:rPr>
        <w:t>. Foreign retailers also face systematic restrictions on expansion</w:t>
      </w:r>
      <w:r w:rsidRPr="78E53FD9">
        <w:rPr>
          <w:rStyle w:val="FootnoteReference"/>
          <w:noProof/>
          <w:lang w:eastAsia="fr-FR"/>
        </w:rPr>
        <w:footnoteReference w:id="191"/>
      </w:r>
      <w:r w:rsidRPr="78E53FD9">
        <w:rPr>
          <w:noProof/>
          <w:lang w:eastAsia="fr-FR"/>
        </w:rPr>
        <w:t>. Comparable discriminatory patterns exist in the construction materials industry. Measures include export restrictions</w:t>
      </w:r>
      <w:r w:rsidRPr="78E53FD9">
        <w:rPr>
          <w:rStyle w:val="FootnoteReference"/>
          <w:noProof/>
          <w:lang w:eastAsia="fr-FR"/>
        </w:rPr>
        <w:footnoteReference w:id="192"/>
      </w:r>
      <w:r w:rsidRPr="78E53FD9">
        <w:rPr>
          <w:noProof/>
          <w:lang w:eastAsia="fr-FR"/>
        </w:rPr>
        <w:t>, mandatory production volumes, supplementary mining royalties of up to 90% of turnover</w:t>
      </w:r>
      <w:r w:rsidRPr="78E53FD9">
        <w:rPr>
          <w:rStyle w:val="FootnoteReference"/>
          <w:noProof/>
          <w:lang w:eastAsia="fr-FR"/>
        </w:rPr>
        <w:footnoteReference w:id="193"/>
      </w:r>
      <w:r w:rsidRPr="78E53FD9">
        <w:rPr>
          <w:noProof/>
          <w:lang w:eastAsia="fr-FR"/>
        </w:rPr>
        <w:t xml:space="preserve"> and a carbon dioxide quota tax combined with a transaction fee on free EU emissions trading system allowances</w:t>
      </w:r>
      <w:r w:rsidRPr="78E53FD9">
        <w:rPr>
          <w:rStyle w:val="FootnoteReference"/>
          <w:noProof/>
          <w:lang w:eastAsia="fr-FR"/>
        </w:rPr>
        <w:footnoteReference w:id="194"/>
      </w:r>
      <w:r w:rsidRPr="78E53FD9">
        <w:rPr>
          <w:noProof/>
          <w:lang w:eastAsia="fr-FR"/>
        </w:rPr>
        <w:t>. On 11 June 2025, the National Assembly passed an omnibus law that turned these emergency measures into statutory legislation</w:t>
      </w:r>
      <w:r w:rsidRPr="78E53FD9">
        <w:rPr>
          <w:rStyle w:val="FootnoteReference"/>
          <w:noProof/>
          <w:lang w:eastAsia="fr-FR"/>
        </w:rPr>
        <w:footnoteReference w:id="195"/>
      </w:r>
      <w:r w:rsidRPr="78E53FD9">
        <w:rPr>
          <w:noProof/>
          <w:lang w:eastAsia="fr-FR"/>
        </w:rPr>
        <w:t xml:space="preserve">. </w:t>
      </w:r>
      <w:r w:rsidRPr="13E17EF6">
        <w:rPr>
          <w:noProof/>
          <w:lang w:eastAsia="fr-FR"/>
        </w:rPr>
        <w:t>In the mining sector, fur</w:t>
      </w:r>
      <w:r w:rsidRPr="003B1015">
        <w:rPr>
          <w:noProof/>
          <w:lang w:eastAsia="fr-FR"/>
        </w:rPr>
        <w:t>ther practices can be observed, such as non-transparent and discriminatory tender procedu</w:t>
      </w:r>
      <w:r w:rsidRPr="13E17EF6">
        <w:rPr>
          <w:noProof/>
          <w:lang w:eastAsia="fr-FR"/>
        </w:rPr>
        <w:t>res for sand and gravel mining sites</w:t>
      </w:r>
      <w:r w:rsidRPr="00F26433">
        <w:rPr>
          <w:noProof/>
          <w:lang w:eastAsia="fr-FR"/>
        </w:rPr>
        <w:t xml:space="preserve"> </w:t>
      </w:r>
      <w:r>
        <w:rPr>
          <w:noProof/>
          <w:lang w:eastAsia="fr-FR"/>
        </w:rPr>
        <w:t>that limit competition</w:t>
      </w:r>
      <w:r w:rsidRPr="00BD5101">
        <w:rPr>
          <w:rStyle w:val="FootnoteReference"/>
          <w:noProof/>
        </w:rPr>
        <w:footnoteReference w:id="196"/>
      </w:r>
      <w:r>
        <w:rPr>
          <w:noProof/>
          <w:lang w:eastAsia="fr-FR"/>
        </w:rPr>
        <w:t>.</w:t>
      </w:r>
    </w:p>
    <w:p w14:paraId="3051BCFE" w14:textId="77777777" w:rsidR="00FC0AF3" w:rsidRPr="006536D8" w:rsidRDefault="00FC0AF3" w:rsidP="00FC0AF3">
      <w:pPr>
        <w:rPr>
          <w:noProof/>
          <w:lang w:eastAsia="fr-FR"/>
        </w:rPr>
      </w:pPr>
      <w:r w:rsidRPr="41D41CC6">
        <w:rPr>
          <w:b/>
          <w:noProof/>
          <w:lang w:eastAsia="fr-FR"/>
        </w:rPr>
        <w:t xml:space="preserve">The </w:t>
      </w:r>
      <w:r>
        <w:rPr>
          <w:b/>
          <w:noProof/>
          <w:lang w:eastAsia="fr-FR"/>
        </w:rPr>
        <w:t>legal framework that</w:t>
      </w:r>
      <w:r w:rsidRPr="41D41CC6">
        <w:rPr>
          <w:b/>
          <w:noProof/>
          <w:lang w:eastAsia="fr-FR"/>
        </w:rPr>
        <w:t xml:space="preserve"> </w:t>
      </w:r>
      <w:r>
        <w:rPr>
          <w:b/>
          <w:noProof/>
          <w:lang w:eastAsia="fr-FR"/>
        </w:rPr>
        <w:t xml:space="preserve">allows the </w:t>
      </w:r>
      <w:r w:rsidRPr="41D41CC6">
        <w:rPr>
          <w:b/>
          <w:noProof/>
          <w:lang w:eastAsia="fr-FR"/>
        </w:rPr>
        <w:t>selective application of competition rules further weakens legal certainty for businesses.</w:t>
      </w:r>
      <w:r w:rsidRPr="41D41CC6">
        <w:rPr>
          <w:noProof/>
          <w:lang w:eastAsia="fr-FR"/>
        </w:rPr>
        <w:t xml:space="preserve"> </w:t>
      </w:r>
      <w:r>
        <w:rPr>
          <w:noProof/>
        </w:rPr>
        <w:t xml:space="preserve">The December 2025 amendment to the national competition rules allows the Competition Authority to </w:t>
      </w:r>
      <w:r w:rsidRPr="003D01E2">
        <w:rPr>
          <w:noProof/>
        </w:rPr>
        <w:t xml:space="preserve">declare a mining or construction undertaking </w:t>
      </w:r>
      <w:r>
        <w:rPr>
          <w:noProof/>
        </w:rPr>
        <w:t>‘</w:t>
      </w:r>
      <w:r w:rsidRPr="003D01E2">
        <w:rPr>
          <w:noProof/>
        </w:rPr>
        <w:t>to be of cross-market significance</w:t>
      </w:r>
      <w:r>
        <w:rPr>
          <w:noProof/>
        </w:rPr>
        <w:t>’ and impose far-reaching obligations on it, without the need to show any breach of competition rules</w:t>
      </w:r>
      <w:r>
        <w:rPr>
          <w:rStyle w:val="FootnoteReference"/>
          <w:noProof/>
        </w:rPr>
        <w:footnoteReference w:id="197"/>
      </w:r>
      <w:r>
        <w:rPr>
          <w:noProof/>
        </w:rPr>
        <w:t>.</w:t>
      </w:r>
      <w:r w:rsidRPr="003D01E2">
        <w:rPr>
          <w:noProof/>
        </w:rPr>
        <w:t xml:space="preserve"> </w:t>
      </w:r>
      <w:r w:rsidRPr="41D41CC6">
        <w:rPr>
          <w:noProof/>
          <w:lang w:eastAsia="fr-FR"/>
        </w:rPr>
        <w:t>The possibility for the Government to interfere with the application of merger control rules continues to give rise to legal uncertainty</w:t>
      </w:r>
      <w:r w:rsidRPr="41D41CC6">
        <w:rPr>
          <w:rStyle w:val="FootnoteReference"/>
          <w:noProof/>
          <w:lang w:eastAsia="fr-FR"/>
        </w:rPr>
        <w:footnoteReference w:id="198"/>
      </w:r>
      <w:r w:rsidRPr="41D41CC6">
        <w:rPr>
          <w:noProof/>
          <w:lang w:eastAsia="fr-FR"/>
        </w:rPr>
        <w:t xml:space="preserve">. The Competition Authority </w:t>
      </w:r>
      <w:r>
        <w:rPr>
          <w:noProof/>
          <w:lang w:eastAsia="fr-FR"/>
        </w:rPr>
        <w:t xml:space="preserve">reportedly </w:t>
      </w:r>
      <w:r w:rsidRPr="41D41CC6">
        <w:rPr>
          <w:noProof/>
          <w:lang w:eastAsia="fr-FR"/>
        </w:rPr>
        <w:t>continue</w:t>
      </w:r>
      <w:r>
        <w:rPr>
          <w:noProof/>
          <w:lang w:eastAsia="fr-FR"/>
        </w:rPr>
        <w:t>s</w:t>
      </w:r>
      <w:r w:rsidRPr="41D41CC6">
        <w:rPr>
          <w:noProof/>
          <w:lang w:eastAsia="fr-FR"/>
        </w:rPr>
        <w:t xml:space="preserve"> to apply the rules selectively</w:t>
      </w:r>
      <w:r w:rsidRPr="41D41CC6">
        <w:rPr>
          <w:rStyle w:val="FootnoteReference"/>
          <w:noProof/>
          <w:lang w:eastAsia="fr-FR"/>
        </w:rPr>
        <w:footnoteReference w:id="199"/>
      </w:r>
      <w:r w:rsidRPr="41D41CC6">
        <w:rPr>
          <w:noProof/>
          <w:lang w:eastAsia="fr-FR"/>
        </w:rPr>
        <w:t xml:space="preserve">. </w:t>
      </w:r>
      <w:r w:rsidRPr="00C177EF">
        <w:rPr>
          <w:noProof/>
          <w:highlight w:val="cyan"/>
          <w:lang w:eastAsia="fr-FR"/>
        </w:rPr>
        <w:t xml:space="preserve"> </w:t>
      </w:r>
    </w:p>
    <w:p w14:paraId="4ACC38F6" w14:textId="08C54D2A" w:rsidR="00FC0AF3" w:rsidRDefault="006A6E8F" w:rsidP="00FC0AF3">
      <w:pPr>
        <w:rPr>
          <w:noProof/>
          <w:lang w:eastAsia="fr-FR"/>
        </w:rPr>
      </w:pPr>
      <w:r w:rsidRPr="00C068BA">
        <w:rPr>
          <w:b/>
          <w:bCs/>
          <w:noProof/>
          <w:lang w:eastAsia="fr-FR"/>
        </w:rPr>
        <w:t xml:space="preserve">Issues remain with the way </w:t>
      </w:r>
      <w:r w:rsidRPr="006A6E8F">
        <w:rPr>
          <w:b/>
          <w:bCs/>
          <w:noProof/>
          <w:lang w:eastAsia="fr-FR"/>
        </w:rPr>
        <w:t>i</w:t>
      </w:r>
      <w:r w:rsidR="0039520B" w:rsidRPr="00C068BA">
        <w:rPr>
          <w:b/>
          <w:bCs/>
          <w:noProof/>
          <w:lang w:eastAsia="fr-FR"/>
        </w:rPr>
        <w:t xml:space="preserve">nstitutional checks and balances </w:t>
      </w:r>
      <w:r>
        <w:rPr>
          <w:b/>
          <w:bCs/>
          <w:noProof/>
          <w:lang w:eastAsia="fr-FR"/>
        </w:rPr>
        <w:t>are applied</w:t>
      </w:r>
      <w:r w:rsidR="0039520B" w:rsidRPr="00C068BA">
        <w:rPr>
          <w:b/>
          <w:bCs/>
          <w:noProof/>
          <w:lang w:eastAsia="fr-FR"/>
        </w:rPr>
        <w:t>.</w:t>
      </w:r>
      <w:r w:rsidR="0039520B" w:rsidRPr="0039520B">
        <w:rPr>
          <w:noProof/>
          <w:lang w:eastAsia="fr-FR"/>
        </w:rPr>
        <w:t xml:space="preserve"> </w:t>
      </w:r>
      <w:r w:rsidR="00FF2A75" w:rsidRPr="062DA65E">
        <w:rPr>
          <w:noProof/>
          <w:lang w:eastAsia="fr-FR"/>
        </w:rPr>
        <w:t>Concerns remain regarding the independence and effective functioning of the Commissioner for Fundamental Rights</w:t>
      </w:r>
      <w:r w:rsidR="00FF2A75" w:rsidRPr="062DA65E">
        <w:rPr>
          <w:rStyle w:val="FootnoteReference"/>
          <w:noProof/>
          <w:lang w:eastAsia="fr-FR"/>
        </w:rPr>
        <w:footnoteReference w:id="200"/>
      </w:r>
      <w:r w:rsidR="00FF2A75" w:rsidRPr="062DA65E">
        <w:rPr>
          <w:noProof/>
          <w:lang w:eastAsia="fr-FR"/>
        </w:rPr>
        <w:t>. On 22 September 2025, the National Assembly</w:t>
      </w:r>
      <w:r w:rsidR="00FF2A75">
        <w:rPr>
          <w:noProof/>
          <w:lang w:eastAsia="fr-FR"/>
        </w:rPr>
        <w:t xml:space="preserve"> – voting with a two-thirds majority as required by the Fundamental Law –</w:t>
      </w:r>
      <w:r w:rsidR="00FF2A75" w:rsidRPr="062DA65E">
        <w:rPr>
          <w:noProof/>
          <w:lang w:eastAsia="fr-FR"/>
        </w:rPr>
        <w:t xml:space="preserve"> elected a new Commissioner, following a recommendation by the President of the Republic, with no prior call for applications or meaningful consultation with civil society and professional organisations. Shortly after the new Commissioner took office, position papers </w:t>
      </w:r>
      <w:r w:rsidR="00FF2A75" w:rsidRPr="062DA65E" w:rsidDel="00D02183">
        <w:rPr>
          <w:noProof/>
          <w:lang w:eastAsia="fr-FR"/>
        </w:rPr>
        <w:t xml:space="preserve">by </w:t>
      </w:r>
      <w:r w:rsidR="00FF2A75" w:rsidRPr="062DA65E">
        <w:rPr>
          <w:noProof/>
          <w:lang w:eastAsia="fr-FR"/>
        </w:rPr>
        <w:t>the former deputy Commissioner for the Rights of Minorities</w:t>
      </w:r>
      <w:r w:rsidR="00FF2A75">
        <w:rPr>
          <w:noProof/>
          <w:lang w:eastAsia="fr-FR"/>
        </w:rPr>
        <w:t>,</w:t>
      </w:r>
      <w:r w:rsidR="00FF2A75" w:rsidRPr="062DA65E">
        <w:rPr>
          <w:noProof/>
          <w:lang w:eastAsia="fr-FR"/>
        </w:rPr>
        <w:t xml:space="preserve"> </w:t>
      </w:r>
      <w:r w:rsidR="00FF2A75">
        <w:rPr>
          <w:noProof/>
          <w:lang w:eastAsia="fr-FR"/>
        </w:rPr>
        <w:t xml:space="preserve">published after the expiry of her mandate, </w:t>
      </w:r>
      <w:r w:rsidR="00FF2A75" w:rsidRPr="062DA65E">
        <w:rPr>
          <w:noProof/>
          <w:lang w:eastAsia="fr-FR"/>
        </w:rPr>
        <w:t>were removed from the Commissioner’s website</w:t>
      </w:r>
      <w:r w:rsidR="00FF2A75" w:rsidRPr="062DA65E">
        <w:rPr>
          <w:rStyle w:val="FootnoteReference"/>
          <w:noProof/>
          <w:lang w:eastAsia="fr-FR"/>
        </w:rPr>
        <w:footnoteReference w:id="201"/>
      </w:r>
      <w:r w:rsidR="00FF2A75" w:rsidRPr="062DA65E">
        <w:rPr>
          <w:noProof/>
          <w:lang w:eastAsia="fr-FR"/>
        </w:rPr>
        <w:t xml:space="preserve">. On 6 February 2026, the Commissioner for Fundamental Rights requested that the Constitutional Court </w:t>
      </w:r>
      <w:r w:rsidR="00FF2A75">
        <w:rPr>
          <w:noProof/>
          <w:lang w:eastAsia="fr-FR"/>
        </w:rPr>
        <w:t>assesses</w:t>
      </w:r>
      <w:r w:rsidR="00FF2A75" w:rsidRPr="062DA65E">
        <w:rPr>
          <w:noProof/>
          <w:lang w:eastAsia="fr-FR"/>
        </w:rPr>
        <w:t xml:space="preserve"> whether the rules of </w:t>
      </w:r>
      <w:r w:rsidR="00FF2A75" w:rsidRPr="00EB16BE">
        <w:rPr>
          <w:noProof/>
          <w:lang w:eastAsia="fr-FR"/>
        </w:rPr>
        <w:t>Regulation (EU) 2024/900</w:t>
      </w:r>
      <w:r w:rsidR="00FF2A75">
        <w:rPr>
          <w:noProof/>
          <w:lang w:eastAsia="fr-FR"/>
        </w:rPr>
        <w:t xml:space="preserve"> </w:t>
      </w:r>
      <w:r w:rsidR="00FF2A75" w:rsidRPr="062DA65E">
        <w:rPr>
          <w:noProof/>
          <w:lang w:eastAsia="fr-FR"/>
        </w:rPr>
        <w:t>on the transparency and targeting of political advertising are compatible with the Fundamental Law’s provisions on conferral and political advertisement and</w:t>
      </w:r>
      <w:r w:rsidR="00FF2A75">
        <w:rPr>
          <w:noProof/>
          <w:lang w:eastAsia="fr-FR"/>
        </w:rPr>
        <w:t xml:space="preserve"> </w:t>
      </w:r>
      <w:r w:rsidR="00FF2A75" w:rsidRPr="062DA65E">
        <w:rPr>
          <w:noProof/>
          <w:lang w:eastAsia="fr-FR"/>
        </w:rPr>
        <w:t>whether the Regulation must be ‘set aside’ if found incompatible with these provisions</w:t>
      </w:r>
      <w:r w:rsidR="00FF2A75">
        <w:rPr>
          <w:rStyle w:val="FootnoteReference"/>
          <w:noProof/>
          <w:lang w:eastAsia="fr-FR"/>
        </w:rPr>
        <w:footnoteReference w:id="202"/>
      </w:r>
      <w:r w:rsidR="00FF2A75" w:rsidRPr="062DA65E">
        <w:rPr>
          <w:noProof/>
          <w:lang w:eastAsia="fr-FR"/>
        </w:rPr>
        <w:t>.</w:t>
      </w:r>
      <w:r w:rsidR="00FF2A75">
        <w:rPr>
          <w:noProof/>
          <w:lang w:eastAsia="fr-FR"/>
        </w:rPr>
        <w:t xml:space="preserve"> </w:t>
      </w:r>
      <w:r w:rsidR="00FF2A75" w:rsidRPr="001B5319">
        <w:rPr>
          <w:noProof/>
          <w:lang w:eastAsia="fr-FR"/>
        </w:rPr>
        <w:t>The Constitutional Court, composed of members elected by the National Assembly without the involvement of the judiciary, is still reviewing the merits of final rulings by ordinary courts in politically sensitive cases</w:t>
      </w:r>
      <w:r w:rsidR="00FF2A75" w:rsidRPr="001B5319">
        <w:rPr>
          <w:rStyle w:val="FootnoteReference"/>
          <w:noProof/>
          <w:lang w:eastAsia="fr-FR"/>
        </w:rPr>
        <w:footnoteReference w:id="203"/>
      </w:r>
      <w:r w:rsidR="00FF2A75" w:rsidRPr="001B5319">
        <w:rPr>
          <w:noProof/>
          <w:lang w:eastAsia="fr-FR"/>
        </w:rPr>
        <w:t>. The Constitutional Court does not have a transparent case allocation scheme in place, nor is it bound by procedural deadlines when hearing constitutional complaints</w:t>
      </w:r>
      <w:r w:rsidR="00FF2A75" w:rsidRPr="001B5319">
        <w:rPr>
          <w:rStyle w:val="FootnoteReference"/>
          <w:noProof/>
          <w:lang w:eastAsia="fr-FR"/>
        </w:rPr>
        <w:footnoteReference w:id="204"/>
      </w:r>
      <w:r w:rsidR="00FF2A75" w:rsidRPr="00912E94">
        <w:rPr>
          <w:noProof/>
          <w:lang w:eastAsia="fr-FR"/>
        </w:rPr>
        <w:t>.</w:t>
      </w:r>
      <w:r w:rsidR="00FF2A75">
        <w:rPr>
          <w:noProof/>
          <w:lang w:eastAsia="fr-FR"/>
        </w:rPr>
        <w:t xml:space="preserve"> The omnibus law of June 2026 repealed the</w:t>
      </w:r>
      <w:r w:rsidR="00FF2A75" w:rsidRPr="006D2F55">
        <w:rPr>
          <w:noProof/>
          <w:lang w:eastAsia="fr-FR"/>
        </w:rPr>
        <w:t xml:space="preserve"> provision in the Constitutional Court Act</w:t>
      </w:r>
      <w:r w:rsidR="00FF2A75">
        <w:rPr>
          <w:noProof/>
          <w:lang w:eastAsia="fr-FR"/>
        </w:rPr>
        <w:t>, introduced in December 2023,</w:t>
      </w:r>
      <w:r w:rsidR="00FF2A75" w:rsidRPr="006D2F55">
        <w:rPr>
          <w:noProof/>
          <w:lang w:eastAsia="fr-FR"/>
        </w:rPr>
        <w:t xml:space="preserve"> </w:t>
      </w:r>
      <w:r w:rsidR="00FF2A75">
        <w:rPr>
          <w:noProof/>
          <w:lang w:eastAsia="fr-FR"/>
        </w:rPr>
        <w:t>w</w:t>
      </w:r>
      <w:r w:rsidR="00FF2A75" w:rsidRPr="001B5319">
        <w:rPr>
          <w:noProof/>
          <w:lang w:eastAsia="fr-FR"/>
        </w:rPr>
        <w:t>hich allowed the Constitutional Court to give an advisory opinion – upon request of the Court</w:t>
      </w:r>
      <w:r w:rsidR="00FF2A75" w:rsidRPr="006D2F55">
        <w:rPr>
          <w:noProof/>
          <w:lang w:eastAsia="fr-FR"/>
        </w:rPr>
        <w:t xml:space="preserve"> of Justice of the EU – on the interpretation of the rules related to </w:t>
      </w:r>
      <w:r w:rsidR="00FF2A75">
        <w:rPr>
          <w:noProof/>
          <w:lang w:eastAsia="fr-FR"/>
        </w:rPr>
        <w:t>a series of constitutional elements</w:t>
      </w:r>
      <w:r w:rsidR="00FF2A75">
        <w:rPr>
          <w:rStyle w:val="FootnoteReference"/>
          <w:noProof/>
          <w:lang w:eastAsia="fr-FR"/>
        </w:rPr>
        <w:footnoteReference w:id="205"/>
      </w:r>
      <w:r w:rsidR="00FF2A75" w:rsidRPr="006D2F55">
        <w:rPr>
          <w:noProof/>
          <w:lang w:eastAsia="fr-FR"/>
        </w:rPr>
        <w:t xml:space="preserve">. </w:t>
      </w:r>
    </w:p>
    <w:p w14:paraId="3FC5AFEA" w14:textId="44C37834" w:rsidR="0098612C" w:rsidRPr="006536D8" w:rsidRDefault="0098612C" w:rsidP="00FC0AF3">
      <w:pPr>
        <w:rPr>
          <w:noProof/>
          <w:lang w:eastAsia="fr-FR"/>
        </w:rPr>
      </w:pPr>
      <w:r w:rsidRPr="00C068BA">
        <w:rPr>
          <w:b/>
          <w:bCs/>
          <w:noProof/>
          <w:lang w:eastAsia="fr-FR"/>
        </w:rPr>
        <w:t xml:space="preserve">A constitutional revision process has been initiated. </w:t>
      </w:r>
      <w:r w:rsidRPr="00C068BA">
        <w:rPr>
          <w:noProof/>
          <w:lang w:eastAsia="fr-FR"/>
        </w:rPr>
        <w:t xml:space="preserve">The </w:t>
      </w:r>
      <w:r w:rsidRPr="001B5319">
        <w:rPr>
          <w:noProof/>
          <w:lang w:eastAsia="fr-FR"/>
        </w:rPr>
        <w:t>Seventeenth Amendment to the Fundamental Law would reinstate a retirement age of 70 for members of the Constitutional Court. Consequently, the terms of office of four of the 15 members, including the president, would expire when the constitutional amendment comes into effect. The Seventeenth Amendment would also allow the Constitutional Court to elect its own president and to review the constitutionality of tax laws</w:t>
      </w:r>
      <w:r w:rsidRPr="001B5319">
        <w:rPr>
          <w:rStyle w:val="FootnoteReference"/>
          <w:noProof/>
          <w:lang w:eastAsia="fr-FR"/>
        </w:rPr>
        <w:footnoteReference w:id="206"/>
      </w:r>
      <w:r w:rsidRPr="001B5319">
        <w:rPr>
          <w:noProof/>
          <w:lang w:eastAsia="fr-FR"/>
        </w:rPr>
        <w:t xml:space="preserve">. Moreover, the </w:t>
      </w:r>
      <w:r>
        <w:rPr>
          <w:noProof/>
          <w:lang w:eastAsia="fr-FR"/>
        </w:rPr>
        <w:t>constitutional amendment</w:t>
      </w:r>
      <w:r w:rsidR="00CB1F82">
        <w:rPr>
          <w:noProof/>
          <w:lang w:eastAsia="fr-FR"/>
        </w:rPr>
        <w:t xml:space="preserve"> </w:t>
      </w:r>
      <w:r>
        <w:rPr>
          <w:noProof/>
          <w:lang w:eastAsia="fr-FR"/>
        </w:rPr>
        <w:t>would terminate the mandate of the incumbent President of the Republic</w:t>
      </w:r>
      <w:r>
        <w:rPr>
          <w:rStyle w:val="FootnoteReference"/>
          <w:noProof/>
          <w:lang w:eastAsia="fr-FR"/>
        </w:rPr>
        <w:footnoteReference w:id="207"/>
      </w:r>
      <w:r>
        <w:rPr>
          <w:noProof/>
          <w:lang w:eastAsia="fr-FR"/>
        </w:rPr>
        <w:t>. Following public consultation, the Seventeenth Amendment was adopted by the National Assembly on 13 July 2026 and is yet to be promulgated.</w:t>
      </w:r>
    </w:p>
    <w:p w14:paraId="17B2034C" w14:textId="2D6F52C7" w:rsidR="00FC0AF3" w:rsidRPr="006536D8" w:rsidRDefault="00FC0AF3" w:rsidP="00FC0AF3">
      <w:pPr>
        <w:rPr>
          <w:noProof/>
          <w:lang w:eastAsia="fr-FR"/>
        </w:rPr>
      </w:pPr>
      <w:r w:rsidRPr="72929BFF">
        <w:rPr>
          <w:b/>
          <w:bCs/>
          <w:noProof/>
          <w:lang w:eastAsia="fr-FR"/>
        </w:rPr>
        <w:t xml:space="preserve">Effective judicial review of administrative decisions is lacking in sensitive cases. </w:t>
      </w:r>
      <w:r w:rsidRPr="41D41CC6">
        <w:rPr>
          <w:noProof/>
          <w:lang w:eastAsia="fr-FR"/>
        </w:rPr>
        <w:t>An omnibus law adopted on 21 October 2025 amended the Code of Administrative Litigation, seeking to streamline the judicial review of administrative decisions</w:t>
      </w:r>
      <w:r w:rsidRPr="41D41CC6">
        <w:rPr>
          <w:rStyle w:val="FootnoteReference"/>
          <w:noProof/>
          <w:lang w:eastAsia="fr-FR"/>
        </w:rPr>
        <w:footnoteReference w:id="208"/>
      </w:r>
      <w:r w:rsidRPr="41D41CC6">
        <w:rPr>
          <w:noProof/>
          <w:lang w:eastAsia="fr-FR"/>
        </w:rPr>
        <w:t xml:space="preserve">. Procedural rules assign an increasing list of cases to the </w:t>
      </w:r>
      <w:r w:rsidRPr="3FB3C9F8">
        <w:rPr>
          <w:i/>
          <w:iCs/>
          <w:noProof/>
          <w:lang w:eastAsia="fr-FR"/>
        </w:rPr>
        <w:t>Kúria</w:t>
      </w:r>
      <w:r w:rsidRPr="41D41CC6">
        <w:rPr>
          <w:noProof/>
          <w:lang w:eastAsia="fr-FR"/>
        </w:rPr>
        <w:t xml:space="preserve"> as a first and last instance court</w:t>
      </w:r>
      <w:r w:rsidRPr="41D41CC6">
        <w:rPr>
          <w:rStyle w:val="FootnoteReference"/>
          <w:noProof/>
          <w:lang w:eastAsia="fr-FR"/>
        </w:rPr>
        <w:footnoteReference w:id="209"/>
      </w:r>
      <w:r w:rsidRPr="41D41CC6">
        <w:rPr>
          <w:noProof/>
          <w:lang w:eastAsia="fr-FR"/>
        </w:rPr>
        <w:t xml:space="preserve">. In some cases, no judicial review is available at all. </w:t>
      </w:r>
      <w:r w:rsidRPr="72929BFF">
        <w:rPr>
          <w:noProof/>
          <w:lang w:eastAsia="fr-FR"/>
        </w:rPr>
        <w:t>This notably include</w:t>
      </w:r>
      <w:r w:rsidR="008375B1">
        <w:rPr>
          <w:noProof/>
          <w:lang w:eastAsia="fr-FR"/>
        </w:rPr>
        <w:t>d</w:t>
      </w:r>
      <w:r w:rsidRPr="41D41CC6">
        <w:rPr>
          <w:noProof/>
          <w:lang w:eastAsia="fr-FR"/>
        </w:rPr>
        <w:t xml:space="preserve"> investigations and reports by the Sovereignty Protection Office</w:t>
      </w:r>
      <w:r w:rsidRPr="41D41CC6">
        <w:rPr>
          <w:rStyle w:val="FootnoteReference"/>
          <w:noProof/>
          <w:lang w:eastAsia="fr-FR"/>
        </w:rPr>
        <w:footnoteReference w:id="210"/>
      </w:r>
      <w:r w:rsidRPr="41D41CC6">
        <w:rPr>
          <w:noProof/>
          <w:lang w:eastAsia="fr-FR"/>
        </w:rPr>
        <w:t xml:space="preserve">. </w:t>
      </w:r>
      <w:r w:rsidR="00983E78">
        <w:rPr>
          <w:noProof/>
          <w:lang w:val="en-IE" w:eastAsia="fr-FR"/>
        </w:rPr>
        <w:t xml:space="preserve">Similar provisions are being considered for </w:t>
      </w:r>
      <w:r w:rsidR="00ED3388">
        <w:rPr>
          <w:noProof/>
          <w:lang w:val="en-IE" w:eastAsia="fr-FR"/>
        </w:rPr>
        <w:t>certain proceedings of</w:t>
      </w:r>
      <w:r w:rsidR="00983E78">
        <w:rPr>
          <w:noProof/>
          <w:lang w:val="en-IE" w:eastAsia="fr-FR"/>
        </w:rPr>
        <w:t xml:space="preserve"> the future National Asset Recovery and Protection Office. </w:t>
      </w:r>
      <w:r w:rsidRPr="41D41CC6">
        <w:rPr>
          <w:noProof/>
          <w:lang w:eastAsia="fr-FR"/>
        </w:rPr>
        <w:t>Also, on 3 February 2026, an emergency measure</w:t>
      </w:r>
      <w:r w:rsidRPr="41D41CC6">
        <w:rPr>
          <w:rStyle w:val="FootnoteReference"/>
          <w:noProof/>
          <w:lang w:eastAsia="fr-FR"/>
        </w:rPr>
        <w:footnoteReference w:id="211"/>
      </w:r>
      <w:r w:rsidRPr="41D41CC6">
        <w:rPr>
          <w:noProof/>
          <w:lang w:eastAsia="fr-FR"/>
        </w:rPr>
        <w:t xml:space="preserve"> issued by the </w:t>
      </w:r>
      <w:r>
        <w:rPr>
          <w:noProof/>
          <w:lang w:eastAsia="fr-FR"/>
        </w:rPr>
        <w:t xml:space="preserve">former </w:t>
      </w:r>
      <w:r w:rsidR="001253D1">
        <w:rPr>
          <w:noProof/>
          <w:lang w:eastAsia="fr-FR"/>
        </w:rPr>
        <w:t>g</w:t>
      </w:r>
      <w:r w:rsidRPr="41D41CC6">
        <w:rPr>
          <w:noProof/>
          <w:lang w:eastAsia="fr-FR"/>
        </w:rPr>
        <w:t xml:space="preserve">overnment under the ‘state of danger’ regime removed municipalities’ ability to challenge before the competent courts administrative decisions related to the ‘solidarity levy’ imposed on them by the </w:t>
      </w:r>
      <w:r>
        <w:rPr>
          <w:noProof/>
          <w:lang w:eastAsia="fr-FR"/>
        </w:rPr>
        <w:t xml:space="preserve">former </w:t>
      </w:r>
      <w:r w:rsidR="001253D1">
        <w:rPr>
          <w:noProof/>
          <w:lang w:eastAsia="fr-FR"/>
        </w:rPr>
        <w:t>g</w:t>
      </w:r>
      <w:r w:rsidRPr="41D41CC6">
        <w:rPr>
          <w:noProof/>
          <w:lang w:eastAsia="fr-FR"/>
        </w:rPr>
        <w:t>overnment; it also obliged courts to discontinue ongoing cases</w:t>
      </w:r>
      <w:r w:rsidRPr="41D41CC6">
        <w:rPr>
          <w:rStyle w:val="FootnoteReference"/>
          <w:noProof/>
          <w:lang w:eastAsia="fr-FR"/>
        </w:rPr>
        <w:footnoteReference w:id="212"/>
      </w:r>
      <w:r w:rsidRPr="41D41CC6">
        <w:rPr>
          <w:noProof/>
          <w:lang w:eastAsia="fr-FR"/>
        </w:rPr>
        <w:t>. In certain cases, following annulment by the courts, the authorities fail to adhere to the legal interpretation set out in the court judgment that overturned the administrative decision. This forces citizens and businesses to challenge such decisions in court repeatedly within the same case</w:t>
      </w:r>
      <w:r w:rsidRPr="3FB3C9F8">
        <w:rPr>
          <w:rStyle w:val="FootnoteReference"/>
          <w:noProof/>
          <w:lang w:eastAsia="fr-FR"/>
        </w:rPr>
        <w:footnoteReference w:id="213"/>
      </w:r>
      <w:r w:rsidRPr="41D41CC6">
        <w:rPr>
          <w:noProof/>
          <w:lang w:eastAsia="fr-FR"/>
        </w:rPr>
        <w:t>.</w:t>
      </w:r>
      <w:r w:rsidRPr="004B7E2E">
        <w:rPr>
          <w:noProof/>
        </w:rPr>
        <w:t xml:space="preserve"> </w:t>
      </w:r>
      <w:r w:rsidRPr="41D41CC6">
        <w:rPr>
          <w:noProof/>
          <w:lang w:eastAsia="fr-FR"/>
        </w:rPr>
        <w:t xml:space="preserve">In the context of the possibility to ‘suspend’ the citizenship of a Hungarian citizen who also holds the citizenship of another State, the Venice Commission found that the rigid procedural time-limit for contesting the administrative decision and the absence of a suspensive effect of an application to the court (the </w:t>
      </w:r>
      <w:r w:rsidRPr="3FB3C9F8">
        <w:rPr>
          <w:i/>
          <w:iCs/>
          <w:noProof/>
          <w:lang w:eastAsia="fr-FR"/>
        </w:rPr>
        <w:t>Kúria</w:t>
      </w:r>
      <w:r w:rsidRPr="41D41CC6">
        <w:rPr>
          <w:noProof/>
          <w:lang w:eastAsia="fr-FR"/>
        </w:rPr>
        <w:t>), combined with a risk of expulsion following the suspension of citizenship, may adversely affect the effective exercise of the right to judicial review by the person concerned</w:t>
      </w:r>
      <w:r w:rsidRPr="41D41CC6">
        <w:rPr>
          <w:rStyle w:val="FootnoteReference"/>
          <w:noProof/>
          <w:lang w:eastAsia="fr-FR"/>
        </w:rPr>
        <w:footnoteReference w:id="214"/>
      </w:r>
      <w:r w:rsidRPr="41D41CC6">
        <w:rPr>
          <w:noProof/>
          <w:lang w:eastAsia="fr-FR"/>
        </w:rPr>
        <w:t xml:space="preserve">. </w:t>
      </w:r>
    </w:p>
    <w:p w14:paraId="23352A7E" w14:textId="5925FA79" w:rsidR="00FC0AF3" w:rsidRPr="006536D8" w:rsidRDefault="00FC0AF3" w:rsidP="00FC0AF3">
      <w:pPr>
        <w:rPr>
          <w:bCs/>
          <w:noProof/>
          <w:lang w:eastAsia="fr-FR"/>
        </w:rPr>
      </w:pPr>
      <w:r w:rsidRPr="0070440A">
        <w:rPr>
          <w:b/>
          <w:bCs/>
          <w:noProof/>
          <w:lang w:val="en-IE"/>
        </w:rPr>
        <w:t xml:space="preserve">On 1 January </w:t>
      </w:r>
      <w:r>
        <w:rPr>
          <w:b/>
          <w:bCs/>
          <w:noProof/>
          <w:lang w:val="en-IE"/>
        </w:rPr>
        <w:t>2026</w:t>
      </w:r>
      <w:r w:rsidRPr="000915BB">
        <w:rPr>
          <w:b/>
          <w:bCs/>
          <w:noProof/>
          <w:lang w:val="en-IE"/>
        </w:rPr>
        <w:t xml:space="preserve">, Hungary had </w:t>
      </w:r>
      <w:r>
        <w:rPr>
          <w:b/>
          <w:bCs/>
          <w:noProof/>
          <w:lang w:val="en-IE"/>
        </w:rPr>
        <w:t>49</w:t>
      </w:r>
      <w:r w:rsidRPr="000915BB">
        <w:rPr>
          <w:b/>
          <w:bCs/>
          <w:noProof/>
          <w:lang w:val="en-IE"/>
        </w:rPr>
        <w:t xml:space="preserve"> leading judgments of the European Court of Human Rights pending implementation, an increase of 2 compared to the previous year</w:t>
      </w:r>
      <w:r w:rsidRPr="000915BB">
        <w:rPr>
          <w:rStyle w:val="FootnoteReference"/>
          <w:b/>
          <w:bCs/>
          <w:noProof/>
        </w:rPr>
        <w:footnoteReference w:id="215"/>
      </w:r>
      <w:r w:rsidRPr="000915BB">
        <w:rPr>
          <w:b/>
          <w:bCs/>
          <w:noProof/>
          <w:lang w:val="en-IE"/>
        </w:rPr>
        <w:t xml:space="preserve">. </w:t>
      </w:r>
      <w:r w:rsidRPr="000915BB">
        <w:rPr>
          <w:noProof/>
          <w:lang w:val="en-IE"/>
        </w:rPr>
        <w:t xml:space="preserve">At that time, Hungary’s rate of leading judgments from the past 10 years </w:t>
      </w:r>
      <w:r w:rsidRPr="00760D00">
        <w:rPr>
          <w:noProof/>
          <w:lang w:val="en-IE"/>
        </w:rPr>
        <w:t>that had been implemented was at</w:t>
      </w:r>
      <w:r w:rsidRPr="00760D00" w:rsidDel="00DC12E7">
        <w:rPr>
          <w:noProof/>
          <w:lang w:val="en-IE"/>
        </w:rPr>
        <w:t xml:space="preserve"> </w:t>
      </w:r>
      <w:r w:rsidRPr="00760D00">
        <w:rPr>
          <w:noProof/>
          <w:lang w:val="en-IE"/>
        </w:rPr>
        <w:t>2</w:t>
      </w:r>
      <w:r>
        <w:rPr>
          <w:noProof/>
          <w:lang w:val="en-IE"/>
        </w:rPr>
        <w:t>9</w:t>
      </w:r>
      <w:r w:rsidRPr="00760D00">
        <w:rPr>
          <w:noProof/>
          <w:lang w:val="en-IE"/>
        </w:rPr>
        <w:t>%</w:t>
      </w:r>
      <w:r w:rsidRPr="000915BB">
        <w:rPr>
          <w:noProof/>
          <w:lang w:val="en-IE"/>
        </w:rPr>
        <w:t xml:space="preserve"> (compared to </w:t>
      </w:r>
      <w:r w:rsidRPr="00760D00">
        <w:rPr>
          <w:noProof/>
          <w:lang w:val="en-IE"/>
        </w:rPr>
        <w:t>2</w:t>
      </w:r>
      <w:r>
        <w:rPr>
          <w:noProof/>
          <w:lang w:val="en-IE"/>
        </w:rPr>
        <w:t>6</w:t>
      </w:r>
      <w:r w:rsidRPr="00760D00">
        <w:rPr>
          <w:noProof/>
          <w:lang w:val="en-IE"/>
        </w:rPr>
        <w:t>%</w:t>
      </w:r>
      <w:r w:rsidRPr="000915BB">
        <w:rPr>
          <w:noProof/>
          <w:lang w:val="en-IE"/>
        </w:rPr>
        <w:t xml:space="preserve"> in 202</w:t>
      </w:r>
      <w:r>
        <w:rPr>
          <w:noProof/>
          <w:lang w:val="en-IE"/>
        </w:rPr>
        <w:t>5;</w:t>
      </w:r>
      <w:r w:rsidRPr="00760D00">
        <w:rPr>
          <w:noProof/>
          <w:lang w:val="en-IE"/>
        </w:rPr>
        <w:t xml:space="preserve"> 7</w:t>
      </w:r>
      <w:r>
        <w:rPr>
          <w:noProof/>
          <w:lang w:val="en-IE"/>
        </w:rPr>
        <w:t>1</w:t>
      </w:r>
      <w:r w:rsidRPr="00760D00">
        <w:rPr>
          <w:noProof/>
          <w:lang w:val="en-IE"/>
        </w:rPr>
        <w:t>% remained pending</w:t>
      </w:r>
      <w:r w:rsidRPr="000915BB">
        <w:rPr>
          <w:noProof/>
          <w:lang w:val="en-IE"/>
        </w:rPr>
        <w:t>), and the</w:t>
      </w:r>
      <w:r w:rsidRPr="0070440A">
        <w:rPr>
          <w:noProof/>
          <w:lang w:val="en-IE"/>
        </w:rPr>
        <w:t xml:space="preserve"> average time that the judgments had been pending implementation was </w:t>
      </w:r>
      <w:r>
        <w:rPr>
          <w:noProof/>
          <w:lang w:val="en-IE"/>
        </w:rPr>
        <w:t>6</w:t>
      </w:r>
      <w:r w:rsidRPr="0070440A">
        <w:rPr>
          <w:noProof/>
          <w:lang w:val="en-IE"/>
        </w:rPr>
        <w:t xml:space="preserve"> years and </w:t>
      </w:r>
      <w:r>
        <w:rPr>
          <w:noProof/>
          <w:lang w:val="en-IE"/>
        </w:rPr>
        <w:t>9</w:t>
      </w:r>
      <w:r w:rsidRPr="0070440A">
        <w:rPr>
          <w:noProof/>
          <w:lang w:val="en-IE"/>
        </w:rPr>
        <w:t xml:space="preserve"> months (compared to </w:t>
      </w:r>
      <w:r>
        <w:rPr>
          <w:noProof/>
          <w:lang w:val="en-IE"/>
        </w:rPr>
        <w:t>6</w:t>
      </w:r>
      <w:r w:rsidRPr="0070440A">
        <w:rPr>
          <w:noProof/>
          <w:lang w:val="en-IE"/>
        </w:rPr>
        <w:t xml:space="preserve"> years and </w:t>
      </w:r>
      <w:r>
        <w:rPr>
          <w:noProof/>
          <w:lang w:val="en-IE"/>
        </w:rPr>
        <w:t>6</w:t>
      </w:r>
      <w:r w:rsidRPr="0070440A">
        <w:rPr>
          <w:noProof/>
          <w:lang w:val="en-IE"/>
        </w:rPr>
        <w:t xml:space="preserve"> months in 202</w:t>
      </w:r>
      <w:r>
        <w:rPr>
          <w:noProof/>
          <w:lang w:val="en-IE"/>
        </w:rPr>
        <w:t>5</w:t>
      </w:r>
      <w:r w:rsidRPr="0070440A">
        <w:rPr>
          <w:noProof/>
          <w:lang w:val="en-IE"/>
        </w:rPr>
        <w:t>)</w:t>
      </w:r>
      <w:r w:rsidRPr="0070440A">
        <w:rPr>
          <w:rStyle w:val="FootnoteReference"/>
          <w:noProof/>
        </w:rPr>
        <w:footnoteReference w:id="216"/>
      </w:r>
      <w:r w:rsidRPr="0070440A">
        <w:rPr>
          <w:noProof/>
          <w:lang w:val="en-IE"/>
        </w:rPr>
        <w:t xml:space="preserve">. The </w:t>
      </w:r>
      <w:r w:rsidRPr="00DF0669">
        <w:rPr>
          <w:noProof/>
          <w:lang w:val="en-US"/>
        </w:rPr>
        <w:t>oldest leading judgment, pending implementation for more than 1</w:t>
      </w:r>
      <w:r>
        <w:rPr>
          <w:noProof/>
          <w:lang w:val="en-US"/>
        </w:rPr>
        <w:t>6</w:t>
      </w:r>
      <w:r w:rsidRPr="00DF0669">
        <w:rPr>
          <w:noProof/>
          <w:lang w:val="en-US"/>
        </w:rPr>
        <w:t xml:space="preserve"> years, concerns the violation of the right to freedom of assembly</w:t>
      </w:r>
      <w:r w:rsidRPr="00DF0669">
        <w:rPr>
          <w:rStyle w:val="FootnoteReference"/>
          <w:noProof/>
          <w:lang w:val="en-US"/>
        </w:rPr>
        <w:footnoteReference w:id="217"/>
      </w:r>
      <w:r w:rsidRPr="00DF0669">
        <w:rPr>
          <w:noProof/>
          <w:lang w:val="en-US"/>
        </w:rPr>
        <w:t>.</w:t>
      </w:r>
      <w:r w:rsidRPr="00DF0669">
        <w:rPr>
          <w:b/>
          <w:noProof/>
          <w:lang w:val="en-US"/>
        </w:rPr>
        <w:t xml:space="preserve"> </w:t>
      </w:r>
      <w:r w:rsidRPr="00E84A32">
        <w:rPr>
          <w:noProof/>
          <w:lang w:val="en-US"/>
        </w:rPr>
        <w:t>As</w:t>
      </w:r>
      <w:r w:rsidRPr="00E84A32">
        <w:rPr>
          <w:noProof/>
          <w:lang w:val="en-IE"/>
        </w:rPr>
        <w:t xml:space="preserve"> regards the respect of payment deadlines, on 31 December 202</w:t>
      </w:r>
      <w:r>
        <w:rPr>
          <w:noProof/>
          <w:lang w:val="en-IE"/>
        </w:rPr>
        <w:t>5</w:t>
      </w:r>
      <w:r w:rsidRPr="00E84A32">
        <w:rPr>
          <w:noProof/>
          <w:lang w:val="en-IE"/>
        </w:rPr>
        <w:t xml:space="preserve"> there were </w:t>
      </w:r>
      <w:r>
        <w:rPr>
          <w:noProof/>
          <w:lang w:val="en-IE"/>
        </w:rPr>
        <w:t>24</w:t>
      </w:r>
      <w:r w:rsidRPr="00E84A32">
        <w:rPr>
          <w:noProof/>
          <w:lang w:val="en-IE"/>
        </w:rPr>
        <w:t xml:space="preserve"> cases in total awaiting confirmation of payments (compared to </w:t>
      </w:r>
      <w:r>
        <w:rPr>
          <w:noProof/>
          <w:lang w:val="en-IE"/>
        </w:rPr>
        <w:t>32</w:t>
      </w:r>
      <w:r w:rsidRPr="00E84A32">
        <w:rPr>
          <w:noProof/>
          <w:lang w:val="en-IE"/>
        </w:rPr>
        <w:t xml:space="preserve"> in 202</w:t>
      </w:r>
      <w:r>
        <w:rPr>
          <w:noProof/>
          <w:lang w:val="en-IE"/>
        </w:rPr>
        <w:t>4</w:t>
      </w:r>
      <w:r w:rsidRPr="00E84A32">
        <w:rPr>
          <w:noProof/>
          <w:lang w:val="en-IE"/>
        </w:rPr>
        <w:t>)</w:t>
      </w:r>
      <w:r w:rsidRPr="00E84A32">
        <w:rPr>
          <w:rStyle w:val="FootnoteReference"/>
          <w:noProof/>
        </w:rPr>
        <w:footnoteReference w:id="218"/>
      </w:r>
      <w:r w:rsidRPr="00E84A32">
        <w:rPr>
          <w:noProof/>
          <w:lang w:val="en-IE"/>
        </w:rPr>
        <w:t>.</w:t>
      </w:r>
      <w:r w:rsidRPr="0070440A">
        <w:rPr>
          <w:b/>
          <w:bCs/>
          <w:noProof/>
          <w:lang w:val="en-IE"/>
        </w:rPr>
        <w:t xml:space="preserve"> </w:t>
      </w:r>
      <w:r w:rsidRPr="0070440A">
        <w:rPr>
          <w:noProof/>
          <w:lang w:val="en-IE"/>
        </w:rPr>
        <w:t xml:space="preserve">On </w:t>
      </w:r>
      <w:r w:rsidR="00AA54EE">
        <w:rPr>
          <w:noProof/>
          <w:lang w:val="en-IE"/>
        </w:rPr>
        <w:t xml:space="preserve">17 </w:t>
      </w:r>
      <w:r>
        <w:rPr>
          <w:noProof/>
          <w:lang w:val="en-IE"/>
        </w:rPr>
        <w:t>June</w:t>
      </w:r>
      <w:r w:rsidRPr="0070440A">
        <w:rPr>
          <w:noProof/>
          <w:lang w:val="en-IE"/>
        </w:rPr>
        <w:t xml:space="preserve"> </w:t>
      </w:r>
      <w:r>
        <w:rPr>
          <w:noProof/>
          <w:lang w:val="en-IE"/>
        </w:rPr>
        <w:t>2026</w:t>
      </w:r>
      <w:r w:rsidRPr="0070440A">
        <w:rPr>
          <w:noProof/>
          <w:lang w:val="en-IE"/>
        </w:rPr>
        <w:t xml:space="preserve">, the number of leading judgments pending implementation had </w:t>
      </w:r>
      <w:r>
        <w:rPr>
          <w:noProof/>
          <w:lang w:val="en-IE"/>
        </w:rPr>
        <w:t xml:space="preserve">increased to </w:t>
      </w:r>
      <w:r w:rsidR="00763A2B">
        <w:rPr>
          <w:noProof/>
          <w:lang w:val="en-IE"/>
        </w:rPr>
        <w:t>53</w:t>
      </w:r>
      <w:r w:rsidRPr="0070440A">
        <w:rPr>
          <w:rStyle w:val="FootnoteReference"/>
          <w:noProof/>
        </w:rPr>
        <w:footnoteReference w:id="219"/>
      </w:r>
      <w:r w:rsidRPr="0070440A">
        <w:rPr>
          <w:noProof/>
          <w:lang w:val="en-IE"/>
        </w:rPr>
        <w:t>.</w:t>
      </w:r>
      <w:r w:rsidRPr="0070440A">
        <w:rPr>
          <w:b/>
          <w:bCs/>
          <w:noProof/>
          <w:lang w:val="en-IE"/>
        </w:rPr>
        <w:t xml:space="preserve"> </w:t>
      </w:r>
    </w:p>
    <w:p w14:paraId="49ABD9DF" w14:textId="7A901768" w:rsidR="00FC0AF3" w:rsidRPr="006536D8" w:rsidRDefault="00FC0AF3" w:rsidP="00FC0AF3">
      <w:pPr>
        <w:rPr>
          <w:b/>
          <w:bCs/>
          <w:noProof/>
          <w:lang w:eastAsia="fr-FR"/>
        </w:rPr>
      </w:pPr>
      <w:r w:rsidRPr="72929BFF">
        <w:rPr>
          <w:b/>
          <w:bCs/>
          <w:noProof/>
          <w:lang w:eastAsia="fr-FR"/>
        </w:rPr>
        <w:t>The absence of procedural safeguards and effective oversight in the event of secret surveillance measures outside of criminal proceedings is a concern that still has not been addressed</w:t>
      </w:r>
      <w:r w:rsidRPr="72929BFF">
        <w:rPr>
          <w:rStyle w:val="FootnoteReference"/>
          <w:b/>
          <w:bCs/>
          <w:noProof/>
          <w:lang w:eastAsia="fr-FR"/>
        </w:rPr>
        <w:footnoteReference w:id="220"/>
      </w:r>
      <w:r w:rsidRPr="72929BFF">
        <w:rPr>
          <w:b/>
          <w:bCs/>
          <w:noProof/>
          <w:lang w:eastAsia="fr-FR"/>
        </w:rPr>
        <w:t>.</w:t>
      </w:r>
      <w:r w:rsidRPr="41D41CC6">
        <w:rPr>
          <w:noProof/>
          <w:lang w:eastAsia="fr-FR"/>
        </w:rPr>
        <w:t xml:space="preserve"> The relevant judgments of the European Court of Human Rights have not yet been executed</w:t>
      </w:r>
      <w:r w:rsidRPr="41D41CC6">
        <w:rPr>
          <w:rStyle w:val="FootnoteReference"/>
          <w:noProof/>
          <w:lang w:eastAsia="fr-FR"/>
        </w:rPr>
        <w:footnoteReference w:id="221"/>
      </w:r>
      <w:r w:rsidRPr="41D41CC6">
        <w:rPr>
          <w:noProof/>
          <w:lang w:eastAsia="fr-FR"/>
        </w:rPr>
        <w:t xml:space="preserve">. On </w:t>
      </w:r>
      <w:r w:rsidR="0015665E">
        <w:rPr>
          <w:noProof/>
          <w:lang w:eastAsia="fr-FR"/>
        </w:rPr>
        <w:t>11</w:t>
      </w:r>
      <w:r w:rsidR="0015665E" w:rsidRPr="41D41CC6">
        <w:rPr>
          <w:noProof/>
          <w:lang w:eastAsia="fr-FR"/>
        </w:rPr>
        <w:t xml:space="preserve"> </w:t>
      </w:r>
      <w:r w:rsidRPr="41D41CC6">
        <w:rPr>
          <w:noProof/>
          <w:lang w:eastAsia="fr-FR"/>
        </w:rPr>
        <w:t xml:space="preserve">June 2026, the Committee of Ministers of the Council of Europe </w:t>
      </w:r>
      <w:r w:rsidR="00D86390" w:rsidRPr="00D86390">
        <w:rPr>
          <w:noProof/>
          <w:lang w:eastAsia="fr-FR"/>
        </w:rPr>
        <w:t xml:space="preserve">invited the </w:t>
      </w:r>
      <w:r w:rsidR="00552153">
        <w:rPr>
          <w:noProof/>
          <w:lang w:eastAsia="fr-FR"/>
        </w:rPr>
        <w:t xml:space="preserve">Hungarian </w:t>
      </w:r>
      <w:r w:rsidR="00D86390" w:rsidRPr="00D86390">
        <w:rPr>
          <w:noProof/>
          <w:lang w:eastAsia="fr-FR"/>
        </w:rPr>
        <w:t xml:space="preserve">authorities </w:t>
      </w:r>
      <w:r w:rsidR="00B626EB">
        <w:rPr>
          <w:noProof/>
          <w:lang w:eastAsia="fr-FR"/>
        </w:rPr>
        <w:t>‘</w:t>
      </w:r>
      <w:r w:rsidR="00D86390" w:rsidRPr="00D86390">
        <w:rPr>
          <w:noProof/>
          <w:lang w:eastAsia="fr-FR"/>
        </w:rPr>
        <w:t>to advance the necessary legislative reforms to ensure that the domestic framework on secret surveillance for national security purposes fully and effectively complies with the Convention, addressing all shortcomings identified by the Court</w:t>
      </w:r>
      <w:r w:rsidR="00C068BA">
        <w:rPr>
          <w:noProof/>
          <w:lang w:eastAsia="fr-FR"/>
        </w:rPr>
        <w:t>’</w:t>
      </w:r>
      <w:r w:rsidR="00B255C1" w:rsidRPr="00C068BA">
        <w:rPr>
          <w:rStyle w:val="FootnoteReference"/>
          <w:noProof/>
          <w:lang w:eastAsia="fr-FR"/>
        </w:rPr>
        <w:footnoteReference w:id="222"/>
      </w:r>
      <w:r w:rsidRPr="41D41CC6">
        <w:rPr>
          <w:noProof/>
          <w:lang w:eastAsia="fr-FR"/>
        </w:rPr>
        <w:t>. In a judgment of 3 February 2026, the European Court of Human Rights found that the provisions in the Police Act</w:t>
      </w:r>
      <w:r w:rsidRPr="41D41CC6">
        <w:rPr>
          <w:rStyle w:val="FootnoteReference"/>
          <w:noProof/>
          <w:lang w:eastAsia="fr-FR"/>
        </w:rPr>
        <w:footnoteReference w:id="223"/>
      </w:r>
      <w:r w:rsidRPr="41D41CC6">
        <w:rPr>
          <w:noProof/>
          <w:lang w:eastAsia="fr-FR"/>
        </w:rPr>
        <w:t xml:space="preserve"> relating to integrity testing carried out by the National Protective Service and the use of related secret surveillance fail to satisfy the requirements of Article 8 of the European Convention on Human Rights due to the indiscriminate nature of the measures in question</w:t>
      </w:r>
      <w:r w:rsidRPr="41D41CC6">
        <w:rPr>
          <w:rStyle w:val="FootnoteReference"/>
          <w:noProof/>
          <w:lang w:eastAsia="fr-FR"/>
        </w:rPr>
        <w:t xml:space="preserve"> </w:t>
      </w:r>
      <w:r w:rsidRPr="00A35873">
        <w:rPr>
          <w:noProof/>
        </w:rPr>
        <w:t>and the lack of adequate safeguards</w:t>
      </w:r>
      <w:r w:rsidRPr="41D41CC6">
        <w:rPr>
          <w:rStyle w:val="FootnoteReference"/>
          <w:noProof/>
          <w:lang w:eastAsia="fr-FR"/>
        </w:rPr>
        <w:footnoteReference w:id="224"/>
      </w:r>
      <w:r w:rsidRPr="41D41CC6">
        <w:rPr>
          <w:noProof/>
          <w:lang w:eastAsia="fr-FR"/>
        </w:rPr>
        <w:t>.</w:t>
      </w:r>
      <w:r>
        <w:rPr>
          <w:noProof/>
          <w:lang w:eastAsia="fr-FR"/>
        </w:rPr>
        <w:t xml:space="preserve"> </w:t>
      </w:r>
      <w:r w:rsidRPr="00877655">
        <w:rPr>
          <w:noProof/>
          <w:lang w:eastAsia="fr-FR"/>
        </w:rPr>
        <w:t xml:space="preserve">An emergency measure issued </w:t>
      </w:r>
      <w:r>
        <w:rPr>
          <w:noProof/>
          <w:lang w:eastAsia="fr-FR"/>
        </w:rPr>
        <w:t xml:space="preserve">by the former Government </w:t>
      </w:r>
      <w:r w:rsidRPr="00877655">
        <w:rPr>
          <w:noProof/>
          <w:lang w:eastAsia="fr-FR"/>
        </w:rPr>
        <w:t>under the ‘state of danger’ regime authorised the National Tax and Customs Administration on an ad hoc basis to engage in covert information gathering without applying the rules on criminal procedure</w:t>
      </w:r>
      <w:r w:rsidRPr="00877655">
        <w:rPr>
          <w:rStyle w:val="FootnoteReference"/>
          <w:noProof/>
          <w:lang w:eastAsia="fr-FR"/>
        </w:rPr>
        <w:footnoteReference w:id="225"/>
      </w:r>
      <w:r w:rsidRPr="00877655">
        <w:rPr>
          <w:noProof/>
          <w:lang w:val="hu-HU" w:eastAsia="fr-FR"/>
        </w:rPr>
        <w:t>.</w:t>
      </w:r>
    </w:p>
    <w:p w14:paraId="60D21F65" w14:textId="3659FE18" w:rsidR="00FC0AF3" w:rsidRPr="006536D8" w:rsidRDefault="00765B24" w:rsidP="00850EEA">
      <w:pPr>
        <w:rPr>
          <w:noProof/>
          <w:lang w:eastAsia="fr-FR"/>
        </w:rPr>
      </w:pPr>
      <w:bookmarkStart w:id="6" w:name="_Hlk233834451"/>
      <w:r w:rsidRPr="08375EB0">
        <w:rPr>
          <w:b/>
          <w:bCs/>
          <w:noProof/>
          <w:lang w:eastAsia="fr-FR"/>
        </w:rPr>
        <w:t>I</w:t>
      </w:r>
      <w:r w:rsidRPr="72929BFF">
        <w:rPr>
          <w:b/>
          <w:bCs/>
          <w:noProof/>
          <w:lang w:eastAsia="fr-FR"/>
        </w:rPr>
        <w:t>ndependent civil society organisations continue</w:t>
      </w:r>
      <w:r>
        <w:rPr>
          <w:b/>
          <w:bCs/>
          <w:noProof/>
          <w:lang w:eastAsia="fr-FR"/>
        </w:rPr>
        <w:t>d</w:t>
      </w:r>
      <w:r w:rsidRPr="72929BFF">
        <w:rPr>
          <w:b/>
          <w:bCs/>
          <w:noProof/>
          <w:lang w:eastAsia="fr-FR"/>
        </w:rPr>
        <w:t xml:space="preserve"> to be under pressure</w:t>
      </w:r>
      <w:r w:rsidRPr="08375EB0">
        <w:rPr>
          <w:b/>
          <w:bCs/>
          <w:noProof/>
          <w:lang w:eastAsia="fr-FR"/>
        </w:rPr>
        <w:t xml:space="preserve"> under the former government</w:t>
      </w:r>
      <w:r w:rsidRPr="72929BFF">
        <w:rPr>
          <w:b/>
          <w:bCs/>
          <w:noProof/>
          <w:lang w:eastAsia="fr-FR"/>
        </w:rPr>
        <w:t xml:space="preserve">, </w:t>
      </w:r>
      <w:r>
        <w:rPr>
          <w:b/>
          <w:bCs/>
          <w:noProof/>
          <w:lang w:eastAsia="fr-FR"/>
        </w:rPr>
        <w:t>whilst</w:t>
      </w:r>
      <w:r w:rsidRPr="72929BFF">
        <w:rPr>
          <w:b/>
          <w:bCs/>
          <w:noProof/>
          <w:lang w:eastAsia="fr-FR"/>
        </w:rPr>
        <w:t xml:space="preserve"> </w:t>
      </w:r>
      <w:r>
        <w:rPr>
          <w:b/>
          <w:bCs/>
          <w:noProof/>
          <w:lang w:eastAsia="fr-FR"/>
        </w:rPr>
        <w:t>some</w:t>
      </w:r>
      <w:r w:rsidRPr="72929BFF">
        <w:rPr>
          <w:b/>
          <w:bCs/>
          <w:noProof/>
          <w:lang w:eastAsia="fr-FR"/>
        </w:rPr>
        <w:t xml:space="preserve"> progress </w:t>
      </w:r>
      <w:r>
        <w:rPr>
          <w:b/>
          <w:bCs/>
          <w:noProof/>
          <w:lang w:eastAsia="fr-FR"/>
        </w:rPr>
        <w:t xml:space="preserve">has been </w:t>
      </w:r>
      <w:r w:rsidRPr="72929BFF">
        <w:rPr>
          <w:b/>
          <w:bCs/>
          <w:noProof/>
          <w:lang w:eastAsia="fr-FR"/>
        </w:rPr>
        <w:t xml:space="preserve">made </w:t>
      </w:r>
      <w:r>
        <w:rPr>
          <w:b/>
          <w:bCs/>
          <w:noProof/>
          <w:lang w:eastAsia="fr-FR"/>
        </w:rPr>
        <w:t xml:space="preserve">under the new government </w:t>
      </w:r>
      <w:r w:rsidRPr="72929BFF">
        <w:rPr>
          <w:b/>
          <w:bCs/>
          <w:noProof/>
          <w:lang w:eastAsia="fr-FR"/>
        </w:rPr>
        <w:t>on the recommendation to remove obstacles hindering the work</w:t>
      </w:r>
      <w:bookmarkEnd w:id="6"/>
      <w:r w:rsidR="00C86CF4">
        <w:rPr>
          <w:b/>
          <w:bCs/>
          <w:noProof/>
          <w:lang w:eastAsia="fr-FR"/>
        </w:rPr>
        <w:t xml:space="preserve"> of civil society organisations</w:t>
      </w:r>
      <w:r w:rsidRPr="72929BFF">
        <w:rPr>
          <w:rStyle w:val="FootnoteReference"/>
          <w:b/>
          <w:bCs/>
          <w:noProof/>
          <w:lang w:eastAsia="fr-FR"/>
        </w:rPr>
        <w:footnoteReference w:id="226"/>
      </w:r>
      <w:r w:rsidRPr="72929BFF">
        <w:rPr>
          <w:b/>
          <w:bCs/>
          <w:noProof/>
          <w:lang w:eastAsia="fr-FR"/>
        </w:rPr>
        <w:t>.</w:t>
      </w:r>
      <w:r w:rsidR="00FC0AF3" w:rsidRPr="41D41CC6">
        <w:rPr>
          <w:noProof/>
          <w:lang w:eastAsia="fr-FR"/>
        </w:rPr>
        <w:t xml:space="preserve"> </w:t>
      </w:r>
      <w:r w:rsidR="00FC0AF3" w:rsidRPr="25D43660">
        <w:rPr>
          <w:noProof/>
          <w:lang w:eastAsia="fr-FR"/>
        </w:rPr>
        <w:t>Civic space</w:t>
      </w:r>
      <w:r w:rsidR="00FC0AF3" w:rsidRPr="41D41CC6">
        <w:rPr>
          <w:noProof/>
          <w:lang w:eastAsia="fr-FR"/>
        </w:rPr>
        <w:t xml:space="preserve"> continues to be rated as ‘obstructed’</w:t>
      </w:r>
      <w:r w:rsidR="00FC0AF3">
        <w:rPr>
          <w:noProof/>
          <w:lang w:eastAsia="fr-FR"/>
        </w:rPr>
        <w:t xml:space="preserve"> by Civicus</w:t>
      </w:r>
      <w:r w:rsidR="00FC0AF3" w:rsidRPr="41D41CC6">
        <w:rPr>
          <w:rStyle w:val="FootnoteReference"/>
          <w:noProof/>
          <w:lang w:eastAsia="fr-FR"/>
        </w:rPr>
        <w:footnoteReference w:id="227"/>
      </w:r>
      <w:r w:rsidR="00FC0AF3" w:rsidRPr="41D41CC6">
        <w:rPr>
          <w:noProof/>
          <w:lang w:eastAsia="fr-FR"/>
        </w:rPr>
        <w:t xml:space="preserve">. Although the statutory framework for </w:t>
      </w:r>
      <w:r w:rsidR="00FC0AF3">
        <w:rPr>
          <w:noProof/>
          <w:lang w:eastAsia="fr-FR"/>
        </w:rPr>
        <w:t xml:space="preserve">setting up </w:t>
      </w:r>
      <w:r w:rsidR="00FC0AF3" w:rsidRPr="41D41CC6">
        <w:rPr>
          <w:noProof/>
          <w:lang w:eastAsia="fr-FR"/>
        </w:rPr>
        <w:t>civil society organisations (CSOs) aligns with European standards</w:t>
      </w:r>
      <w:r w:rsidR="00FC0AF3">
        <w:rPr>
          <w:rStyle w:val="FootnoteReference"/>
          <w:noProof/>
          <w:lang w:eastAsia="fr-FR"/>
        </w:rPr>
        <w:footnoteReference w:id="228"/>
      </w:r>
      <w:r w:rsidR="00FC0AF3" w:rsidRPr="41D41CC6">
        <w:rPr>
          <w:noProof/>
          <w:lang w:eastAsia="fr-FR"/>
        </w:rPr>
        <w:t>, the complexity of the registration procedure may pose a challenge for smaller organisations with limited resources</w:t>
      </w:r>
      <w:r w:rsidR="00FC0AF3" w:rsidRPr="41D41CC6">
        <w:rPr>
          <w:rStyle w:val="FootnoteReference"/>
          <w:noProof/>
          <w:lang w:eastAsia="fr-FR"/>
        </w:rPr>
        <w:footnoteReference w:id="229"/>
      </w:r>
      <w:r w:rsidR="00FC0AF3" w:rsidRPr="41D41CC6">
        <w:rPr>
          <w:noProof/>
          <w:lang w:eastAsia="fr-FR"/>
        </w:rPr>
        <w:t>. CSOs, particularly those with public benefit status, must comply with extensive documentation and reporting obligations</w:t>
      </w:r>
      <w:r w:rsidR="00FC0AF3" w:rsidRPr="41D41CC6">
        <w:rPr>
          <w:rStyle w:val="FootnoteReference"/>
          <w:noProof/>
          <w:lang w:eastAsia="fr-FR"/>
        </w:rPr>
        <w:footnoteReference w:id="230"/>
      </w:r>
      <w:r w:rsidR="00FC0AF3" w:rsidRPr="41D41CC6">
        <w:rPr>
          <w:noProof/>
          <w:lang w:eastAsia="fr-FR"/>
        </w:rPr>
        <w:t xml:space="preserve">. Although several public assemblies aimed at promoting equality and diversity were banned by the police, as confirmed </w:t>
      </w:r>
      <w:r w:rsidR="000F32C4">
        <w:rPr>
          <w:noProof/>
          <w:lang w:eastAsia="fr-FR"/>
        </w:rPr>
        <w:t xml:space="preserve">partially </w:t>
      </w:r>
      <w:r w:rsidR="00FC0AF3" w:rsidRPr="41D41CC6">
        <w:rPr>
          <w:noProof/>
          <w:lang w:eastAsia="fr-FR"/>
        </w:rPr>
        <w:t xml:space="preserve">by the </w:t>
      </w:r>
      <w:r w:rsidR="00FC0AF3" w:rsidRPr="08375EB0">
        <w:rPr>
          <w:i/>
          <w:iCs/>
          <w:noProof/>
          <w:lang w:eastAsia="fr-FR"/>
        </w:rPr>
        <w:t>Kúria</w:t>
      </w:r>
      <w:r w:rsidR="00FC0AF3" w:rsidRPr="41D41CC6">
        <w:rPr>
          <w:noProof/>
          <w:lang w:eastAsia="fr-FR"/>
        </w:rPr>
        <w:t>, ‘Pride events’ were held in Budapest and Pécs on 28 June and 4 October 2025, respectively</w:t>
      </w:r>
      <w:r w:rsidR="00FC0AF3" w:rsidRPr="00877655">
        <w:rPr>
          <w:noProof/>
          <w:lang w:eastAsia="fr-FR"/>
        </w:rPr>
        <w:t>. Despite the new rules, no fines were imposed on the participants of these events.</w:t>
      </w:r>
      <w:r w:rsidR="00FC0AF3">
        <w:rPr>
          <w:noProof/>
          <w:lang w:eastAsia="fr-FR"/>
        </w:rPr>
        <w:t xml:space="preserve"> </w:t>
      </w:r>
      <w:r w:rsidR="00072EF2" w:rsidRPr="00072EF2">
        <w:rPr>
          <w:noProof/>
          <w:lang w:eastAsia="fr-FR"/>
        </w:rPr>
        <w:t>In the criminal cases brought against the organi</w:t>
      </w:r>
      <w:r w:rsidR="00BD3F47">
        <w:rPr>
          <w:noProof/>
          <w:lang w:eastAsia="fr-FR"/>
        </w:rPr>
        <w:t>s</w:t>
      </w:r>
      <w:r w:rsidR="00072EF2" w:rsidRPr="00072EF2">
        <w:rPr>
          <w:noProof/>
          <w:lang w:eastAsia="fr-FR"/>
        </w:rPr>
        <w:t xml:space="preserve">ers of the Pride events held in Budapest and Pécs in 2025, the prosecution office decided </w:t>
      </w:r>
      <w:r w:rsidR="00170C9A">
        <w:rPr>
          <w:noProof/>
          <w:lang w:eastAsia="fr-FR"/>
        </w:rPr>
        <w:t xml:space="preserve">on 4 June 2026 </w:t>
      </w:r>
      <w:r w:rsidR="00072EF2" w:rsidRPr="00072EF2">
        <w:rPr>
          <w:noProof/>
          <w:lang w:eastAsia="fr-FR"/>
        </w:rPr>
        <w:t>to drop the charges</w:t>
      </w:r>
      <w:r w:rsidR="00F75CAD">
        <w:rPr>
          <w:noProof/>
          <w:lang w:eastAsia="fr-FR"/>
        </w:rPr>
        <w:t>;</w:t>
      </w:r>
      <w:r w:rsidR="00072EF2" w:rsidRPr="00072EF2">
        <w:rPr>
          <w:noProof/>
          <w:lang w:eastAsia="fr-FR"/>
        </w:rPr>
        <w:t xml:space="preserve"> the </w:t>
      </w:r>
      <w:r w:rsidR="00F75CAD">
        <w:rPr>
          <w:noProof/>
          <w:lang w:eastAsia="fr-FR"/>
        </w:rPr>
        <w:t xml:space="preserve">competent </w:t>
      </w:r>
      <w:r w:rsidR="00072EF2" w:rsidRPr="00072EF2">
        <w:rPr>
          <w:noProof/>
          <w:lang w:eastAsia="fr-FR"/>
        </w:rPr>
        <w:t>courts consequently dismissed the cases</w:t>
      </w:r>
      <w:r w:rsidR="00FC0AF3" w:rsidRPr="41D41CC6">
        <w:rPr>
          <w:rStyle w:val="FootnoteReference"/>
          <w:noProof/>
          <w:lang w:eastAsia="fr-FR"/>
        </w:rPr>
        <w:footnoteReference w:id="231"/>
      </w:r>
      <w:r w:rsidR="00FC0AF3" w:rsidRPr="41D41CC6">
        <w:rPr>
          <w:noProof/>
          <w:lang w:eastAsia="fr-FR"/>
        </w:rPr>
        <w:t xml:space="preserve">. </w:t>
      </w:r>
      <w:r w:rsidR="00652871">
        <w:rPr>
          <w:noProof/>
          <w:lang w:eastAsia="fr-FR"/>
        </w:rPr>
        <w:t xml:space="preserve">On </w:t>
      </w:r>
      <w:r w:rsidR="00FC0AF3">
        <w:rPr>
          <w:noProof/>
          <w:lang w:eastAsia="fr-FR"/>
        </w:rPr>
        <w:t>27 June 2026</w:t>
      </w:r>
      <w:r w:rsidR="00652871">
        <w:rPr>
          <w:noProof/>
          <w:lang w:eastAsia="fr-FR"/>
        </w:rPr>
        <w:t xml:space="preserve">, the Budapest Pride took place with the assistance of the </w:t>
      </w:r>
      <w:r w:rsidR="009E72CE">
        <w:rPr>
          <w:noProof/>
          <w:lang w:eastAsia="fr-FR"/>
        </w:rPr>
        <w:t>police</w:t>
      </w:r>
      <w:r w:rsidR="00FC0AF3">
        <w:rPr>
          <w:noProof/>
          <w:lang w:eastAsia="fr-FR"/>
        </w:rPr>
        <w:t>. F</w:t>
      </w:r>
      <w:r w:rsidR="00FC0AF3" w:rsidRPr="41D41CC6">
        <w:rPr>
          <w:noProof/>
          <w:lang w:eastAsia="fr-FR"/>
        </w:rPr>
        <w:t xml:space="preserve">urther legislation </w:t>
      </w:r>
      <w:r w:rsidR="00FC0AF3">
        <w:rPr>
          <w:noProof/>
          <w:lang w:eastAsia="fr-FR"/>
        </w:rPr>
        <w:t>hampering</w:t>
      </w:r>
      <w:r w:rsidR="00FC0AF3" w:rsidRPr="41D41CC6">
        <w:rPr>
          <w:noProof/>
          <w:lang w:eastAsia="fr-FR"/>
        </w:rPr>
        <w:t xml:space="preserve"> </w:t>
      </w:r>
      <w:r w:rsidR="00FC0AF3">
        <w:rPr>
          <w:noProof/>
          <w:lang w:eastAsia="fr-FR"/>
        </w:rPr>
        <w:t>CSOs’</w:t>
      </w:r>
      <w:r w:rsidR="00FC0AF3" w:rsidRPr="41D41CC6">
        <w:rPr>
          <w:noProof/>
          <w:lang w:eastAsia="fr-FR"/>
        </w:rPr>
        <w:t xml:space="preserve"> </w:t>
      </w:r>
      <w:r w:rsidR="00FC0AF3">
        <w:rPr>
          <w:noProof/>
          <w:lang w:eastAsia="fr-FR"/>
        </w:rPr>
        <w:t>capacity of working remains in force</w:t>
      </w:r>
      <w:r w:rsidR="00FC0AF3" w:rsidRPr="41D41CC6">
        <w:rPr>
          <w:noProof/>
          <w:lang w:eastAsia="fr-FR"/>
        </w:rPr>
        <w:t>, although it is not being applied in practice</w:t>
      </w:r>
      <w:r w:rsidR="00FC0AF3" w:rsidRPr="41D41CC6">
        <w:rPr>
          <w:rStyle w:val="FootnoteReference"/>
          <w:noProof/>
          <w:lang w:eastAsia="fr-FR"/>
        </w:rPr>
        <w:footnoteReference w:id="232"/>
      </w:r>
      <w:r w:rsidR="00FC0AF3" w:rsidRPr="41D41CC6">
        <w:rPr>
          <w:noProof/>
          <w:lang w:eastAsia="fr-FR"/>
        </w:rPr>
        <w:t xml:space="preserve">. </w:t>
      </w:r>
      <w:r w:rsidR="000119E0">
        <w:rPr>
          <w:noProof/>
          <w:lang w:eastAsia="fr-FR"/>
        </w:rPr>
        <w:t>O</w:t>
      </w:r>
      <w:r w:rsidR="00A11F64" w:rsidRPr="00A11F64">
        <w:rPr>
          <w:noProof/>
          <w:lang w:eastAsia="fr-FR"/>
        </w:rPr>
        <w:t>n its election platform, the new Government committed to repealing laws that restrict and stigmatise the activities of CSOs.</w:t>
      </w:r>
      <w:r w:rsidR="00A11F64">
        <w:rPr>
          <w:noProof/>
          <w:lang w:eastAsia="fr-FR"/>
        </w:rPr>
        <w:t xml:space="preserve"> </w:t>
      </w:r>
      <w:r w:rsidR="00FC0AF3" w:rsidRPr="6394FDA1">
        <w:rPr>
          <w:noProof/>
          <w:lang w:eastAsia="fr-FR"/>
        </w:rPr>
        <w:t>Critical</w:t>
      </w:r>
      <w:r w:rsidR="00FC0AF3" w:rsidRPr="72929BFF">
        <w:rPr>
          <w:noProof/>
          <w:lang w:eastAsia="fr-FR"/>
        </w:rPr>
        <w:t xml:space="preserve"> narratives targeting </w:t>
      </w:r>
      <w:r w:rsidR="00FC0AF3" w:rsidRPr="41D41CC6">
        <w:rPr>
          <w:noProof/>
          <w:lang w:eastAsia="fr-FR"/>
        </w:rPr>
        <w:t xml:space="preserve">independent CSOs </w:t>
      </w:r>
      <w:r w:rsidR="00FC0AF3">
        <w:rPr>
          <w:noProof/>
          <w:lang w:eastAsia="fr-FR"/>
        </w:rPr>
        <w:t xml:space="preserve">ceased following the general elections of 12 April </w:t>
      </w:r>
      <w:r w:rsidR="00FB348D">
        <w:rPr>
          <w:noProof/>
          <w:lang w:eastAsia="fr-FR"/>
        </w:rPr>
        <w:t>2026</w:t>
      </w:r>
      <w:bookmarkStart w:id="7" w:name="_Hlk233834535"/>
      <w:r w:rsidR="00FB348D" w:rsidRPr="00CC6376">
        <w:rPr>
          <w:noProof/>
          <w:lang w:eastAsia="fr-FR"/>
        </w:rPr>
        <w:t xml:space="preserve">. </w:t>
      </w:r>
      <w:bookmarkEnd w:id="7"/>
      <w:r w:rsidR="00FB348D">
        <w:rPr>
          <w:noProof/>
          <w:lang w:eastAsia="fr-FR"/>
        </w:rPr>
        <w:t>Under</w:t>
      </w:r>
      <w:r w:rsidR="00FC0AF3">
        <w:rPr>
          <w:noProof/>
          <w:lang w:eastAsia="fr-FR"/>
        </w:rPr>
        <w:t xml:space="preserve"> the former government</w:t>
      </w:r>
      <w:r w:rsidR="00FC0AF3" w:rsidRPr="00CC6376">
        <w:rPr>
          <w:noProof/>
          <w:lang w:eastAsia="fr-FR"/>
        </w:rPr>
        <w:t xml:space="preserve">, pressure on activists </w:t>
      </w:r>
      <w:r w:rsidR="00FC0AF3" w:rsidRPr="08375EB0">
        <w:rPr>
          <w:noProof/>
          <w:lang w:eastAsia="fr-FR"/>
        </w:rPr>
        <w:t xml:space="preserve">in rural areas </w:t>
      </w:r>
      <w:r w:rsidR="00FC0AF3">
        <w:rPr>
          <w:noProof/>
          <w:lang w:eastAsia="fr-FR"/>
        </w:rPr>
        <w:t>wa</w:t>
      </w:r>
      <w:r w:rsidR="00FC0AF3" w:rsidRPr="00CC6376">
        <w:rPr>
          <w:noProof/>
          <w:lang w:eastAsia="fr-FR"/>
        </w:rPr>
        <w:t>s intensified by threats of losing employment in the public sector</w:t>
      </w:r>
      <w:r w:rsidR="00FC0AF3" w:rsidRPr="00CC6376">
        <w:rPr>
          <w:rStyle w:val="FootnoteReference"/>
          <w:noProof/>
          <w:lang w:eastAsia="fr-FR"/>
        </w:rPr>
        <w:footnoteReference w:id="233"/>
      </w:r>
      <w:r w:rsidR="00FC0AF3" w:rsidRPr="00CC6376">
        <w:rPr>
          <w:noProof/>
          <w:lang w:eastAsia="fr-FR"/>
        </w:rPr>
        <w:t>.</w:t>
      </w:r>
      <w:r w:rsidR="00FC0AF3" w:rsidRPr="08375EB0">
        <w:rPr>
          <w:noProof/>
          <w:lang w:eastAsia="fr-FR"/>
        </w:rPr>
        <w:t xml:space="preserve"> S</w:t>
      </w:r>
      <w:r w:rsidR="00FC0AF3" w:rsidRPr="41D41CC6">
        <w:rPr>
          <w:noProof/>
          <w:lang w:eastAsia="fr-FR"/>
        </w:rPr>
        <w:t xml:space="preserve">tigmatisation </w:t>
      </w:r>
      <w:r w:rsidR="00FC0AF3">
        <w:rPr>
          <w:noProof/>
          <w:lang w:eastAsia="fr-FR"/>
        </w:rPr>
        <w:t>wa</w:t>
      </w:r>
      <w:r w:rsidR="00FC0AF3" w:rsidRPr="41D41CC6">
        <w:rPr>
          <w:noProof/>
          <w:lang w:eastAsia="fr-FR"/>
        </w:rPr>
        <w:t xml:space="preserve">s further exacerbated </w:t>
      </w:r>
      <w:r w:rsidR="00FC0AF3" w:rsidRPr="08375EB0">
        <w:rPr>
          <w:noProof/>
          <w:lang w:eastAsia="fr-FR"/>
        </w:rPr>
        <w:t xml:space="preserve">under the former government </w:t>
      </w:r>
      <w:r w:rsidR="00FC0AF3" w:rsidRPr="41D41CC6">
        <w:rPr>
          <w:noProof/>
          <w:lang w:eastAsia="fr-FR"/>
        </w:rPr>
        <w:t>by reports of the Sovereignty Protection Office that continue</w:t>
      </w:r>
      <w:r w:rsidR="00FC0AF3">
        <w:rPr>
          <w:noProof/>
          <w:lang w:eastAsia="fr-FR"/>
        </w:rPr>
        <w:t>d</w:t>
      </w:r>
      <w:r w:rsidR="00FC0AF3" w:rsidRPr="41D41CC6">
        <w:rPr>
          <w:noProof/>
          <w:lang w:eastAsia="fr-FR"/>
        </w:rPr>
        <w:t xml:space="preserve"> to conduct investigations into various CSOs and media outlets</w:t>
      </w:r>
      <w:r w:rsidR="00FC0AF3" w:rsidRPr="41D41CC6">
        <w:rPr>
          <w:rStyle w:val="FootnoteReference"/>
          <w:noProof/>
          <w:lang w:eastAsia="fr-FR"/>
        </w:rPr>
        <w:footnoteReference w:id="234"/>
      </w:r>
      <w:r w:rsidR="00FC0AF3">
        <w:rPr>
          <w:noProof/>
          <w:lang w:eastAsia="fr-FR"/>
        </w:rPr>
        <w:t xml:space="preserve">. </w:t>
      </w:r>
      <w:r w:rsidR="004B6C7D">
        <w:rPr>
          <w:noProof/>
          <w:lang w:eastAsia="fr-FR"/>
        </w:rPr>
        <w:t>A</w:t>
      </w:r>
      <w:r w:rsidR="00FC0AF3">
        <w:rPr>
          <w:noProof/>
          <w:lang w:eastAsia="fr-FR"/>
        </w:rPr>
        <w:t xml:space="preserve"> constitutional amendment and a legislative amendment</w:t>
      </w:r>
      <w:r w:rsidR="007F27E9">
        <w:rPr>
          <w:noProof/>
          <w:lang w:eastAsia="fr-FR"/>
        </w:rPr>
        <w:t xml:space="preserve">, adopted on 15 and </w:t>
      </w:r>
      <w:r w:rsidR="00AE50E5">
        <w:rPr>
          <w:noProof/>
          <w:lang w:eastAsia="fr-FR"/>
        </w:rPr>
        <w:t>30</w:t>
      </w:r>
      <w:r w:rsidR="007F27E9">
        <w:rPr>
          <w:noProof/>
          <w:lang w:eastAsia="fr-FR"/>
        </w:rPr>
        <w:t xml:space="preserve"> June 2026, respectively, </w:t>
      </w:r>
      <w:r w:rsidR="00FC0AF3">
        <w:rPr>
          <w:noProof/>
          <w:lang w:eastAsia="fr-FR"/>
        </w:rPr>
        <w:t>abolish</w:t>
      </w:r>
      <w:r w:rsidR="001E2C01">
        <w:rPr>
          <w:noProof/>
          <w:lang w:eastAsia="fr-FR"/>
        </w:rPr>
        <w:t>ed</w:t>
      </w:r>
      <w:r w:rsidR="00FC0AF3">
        <w:rPr>
          <w:noProof/>
          <w:lang w:eastAsia="fr-FR"/>
        </w:rPr>
        <w:t xml:space="preserve"> the </w:t>
      </w:r>
      <w:r w:rsidR="00FC0AF3" w:rsidRPr="41D41CC6">
        <w:rPr>
          <w:noProof/>
          <w:lang w:eastAsia="fr-FR"/>
        </w:rPr>
        <w:t>Sovereignty Protection Office</w:t>
      </w:r>
      <w:r w:rsidR="00434CA9">
        <w:rPr>
          <w:noProof/>
          <w:lang w:eastAsia="fr-FR"/>
        </w:rPr>
        <w:t xml:space="preserve"> as of </w:t>
      </w:r>
      <w:r w:rsidR="0098431A">
        <w:rPr>
          <w:noProof/>
          <w:lang w:eastAsia="fr-FR"/>
        </w:rPr>
        <w:t>15 July 2026</w:t>
      </w:r>
      <w:r w:rsidR="00AB3B31">
        <w:rPr>
          <w:rStyle w:val="FootnoteReference"/>
          <w:noProof/>
          <w:lang w:eastAsia="fr-FR"/>
        </w:rPr>
        <w:footnoteReference w:id="235"/>
      </w:r>
      <w:r w:rsidR="00FC0AF3">
        <w:rPr>
          <w:noProof/>
          <w:lang w:eastAsia="fr-FR"/>
        </w:rPr>
        <w:t>; t</w:t>
      </w:r>
      <w:r w:rsidR="00FC0AF3" w:rsidRPr="41D41CC6">
        <w:rPr>
          <w:noProof/>
          <w:lang w:eastAsia="fr-FR"/>
        </w:rPr>
        <w:t>he infringement proceedings brought by the Commission</w:t>
      </w:r>
      <w:r w:rsidR="00FC0AF3">
        <w:rPr>
          <w:noProof/>
          <w:lang w:eastAsia="fr-FR"/>
        </w:rPr>
        <w:t xml:space="preserve"> are pending</w:t>
      </w:r>
      <w:r w:rsidR="00FC0AF3" w:rsidRPr="41D41CC6">
        <w:rPr>
          <w:rStyle w:val="FootnoteReference"/>
          <w:noProof/>
          <w:lang w:eastAsia="fr-FR"/>
        </w:rPr>
        <w:footnoteReference w:id="236"/>
      </w:r>
      <w:r w:rsidR="00FC0AF3" w:rsidRPr="41D41CC6">
        <w:rPr>
          <w:noProof/>
          <w:lang w:eastAsia="fr-FR"/>
        </w:rPr>
        <w:t xml:space="preserve">. </w:t>
      </w:r>
      <w:r w:rsidR="00FC0AF3">
        <w:rPr>
          <w:noProof/>
          <w:lang w:eastAsia="fr-FR"/>
        </w:rPr>
        <w:t>Under the former government, t</w:t>
      </w:r>
      <w:r w:rsidR="00FC0AF3" w:rsidRPr="00CC6376">
        <w:rPr>
          <w:noProof/>
          <w:lang w:eastAsia="fr-FR"/>
        </w:rPr>
        <w:t>he distribution of</w:t>
      </w:r>
      <w:r w:rsidR="00FC0AF3" w:rsidRPr="41D41CC6">
        <w:rPr>
          <w:noProof/>
          <w:lang w:eastAsia="fr-FR"/>
        </w:rPr>
        <w:t xml:space="preserve"> State funding earmarked for civil society </w:t>
      </w:r>
      <w:r w:rsidR="00FC0AF3" w:rsidRPr="72929BFF">
        <w:rPr>
          <w:noProof/>
          <w:lang w:eastAsia="fr-FR"/>
        </w:rPr>
        <w:t>privilege</w:t>
      </w:r>
      <w:r w:rsidR="00FC0AF3">
        <w:rPr>
          <w:noProof/>
          <w:lang w:eastAsia="fr-FR"/>
        </w:rPr>
        <w:t>d</w:t>
      </w:r>
      <w:r w:rsidR="00FC0AF3" w:rsidRPr="72929BFF">
        <w:rPr>
          <w:noProof/>
          <w:lang w:eastAsia="fr-FR"/>
        </w:rPr>
        <w:t xml:space="preserve"> </w:t>
      </w:r>
      <w:r w:rsidR="00FC0AF3" w:rsidRPr="41D41CC6">
        <w:rPr>
          <w:noProof/>
          <w:lang w:eastAsia="fr-FR"/>
        </w:rPr>
        <w:t>govern</w:t>
      </w:r>
      <w:r w:rsidR="00FC0AF3" w:rsidRPr="72929BFF">
        <w:rPr>
          <w:noProof/>
          <w:lang w:eastAsia="fr-FR"/>
        </w:rPr>
        <w:t>ment-aligned organisations</w:t>
      </w:r>
      <w:r w:rsidR="00FC0AF3" w:rsidRPr="41D41CC6">
        <w:rPr>
          <w:rStyle w:val="FootnoteReference"/>
          <w:noProof/>
          <w:lang w:eastAsia="fr-FR"/>
        </w:rPr>
        <w:footnoteReference w:id="237"/>
      </w:r>
      <w:r w:rsidR="00FC0AF3" w:rsidRPr="41D41CC6">
        <w:rPr>
          <w:noProof/>
          <w:lang w:eastAsia="fr-FR"/>
        </w:rPr>
        <w:t xml:space="preserve">. </w:t>
      </w:r>
      <w:r w:rsidR="00FC0AF3" w:rsidRPr="08375EB0">
        <w:rPr>
          <w:noProof/>
          <w:lang w:eastAsia="fr-FR"/>
        </w:rPr>
        <w:t>The</w:t>
      </w:r>
      <w:r w:rsidR="00FC0AF3" w:rsidRPr="41D41CC6">
        <w:rPr>
          <w:noProof/>
          <w:lang w:eastAsia="fr-FR"/>
        </w:rPr>
        <w:t xml:space="preserve"> number of public</w:t>
      </w:r>
      <w:r w:rsidR="00FC0AF3" w:rsidRPr="72929BFF">
        <w:rPr>
          <w:noProof/>
          <w:lang w:eastAsia="fr-FR"/>
        </w:rPr>
        <w:t xml:space="preserve"> </w:t>
      </w:r>
      <w:r w:rsidR="00FC0AF3" w:rsidRPr="41D41CC6">
        <w:rPr>
          <w:noProof/>
          <w:lang w:eastAsia="fr-FR"/>
        </w:rPr>
        <w:t>interest trusts</w:t>
      </w:r>
      <w:r w:rsidR="00FC0AF3">
        <w:rPr>
          <w:noProof/>
          <w:lang w:eastAsia="fr-FR"/>
        </w:rPr>
        <w:t xml:space="preserve"> (PITs),</w:t>
      </w:r>
      <w:r w:rsidR="00FC0AF3" w:rsidRPr="72929BFF">
        <w:rPr>
          <w:noProof/>
          <w:lang w:eastAsia="fr-FR"/>
        </w:rPr>
        <w:t xml:space="preserve"> as well as the value of the public assets transferred to </w:t>
      </w:r>
      <w:r w:rsidR="00FC0AF3" w:rsidRPr="6F471129">
        <w:rPr>
          <w:noProof/>
          <w:lang w:eastAsia="fr-FR"/>
        </w:rPr>
        <w:t xml:space="preserve">these </w:t>
      </w:r>
      <w:r w:rsidR="00FC0AF3" w:rsidRPr="5A4E82FB">
        <w:rPr>
          <w:noProof/>
          <w:lang w:eastAsia="fr-FR"/>
        </w:rPr>
        <w:t>organisation</w:t>
      </w:r>
      <w:r w:rsidR="00FC0AF3">
        <w:rPr>
          <w:noProof/>
          <w:lang w:eastAsia="fr-FR"/>
        </w:rPr>
        <w:t>s</w:t>
      </w:r>
      <w:r w:rsidR="00FC0AF3" w:rsidRPr="72929BFF">
        <w:rPr>
          <w:noProof/>
          <w:lang w:eastAsia="fr-FR"/>
        </w:rPr>
        <w:t xml:space="preserve"> and the</w:t>
      </w:r>
      <w:r w:rsidR="00FC0AF3">
        <w:rPr>
          <w:noProof/>
          <w:lang w:eastAsia="fr-FR"/>
        </w:rPr>
        <w:t xml:space="preserve"> </w:t>
      </w:r>
      <w:r w:rsidR="00FC0AF3" w:rsidRPr="41D41CC6">
        <w:rPr>
          <w:noProof/>
          <w:lang w:eastAsia="fr-FR"/>
        </w:rPr>
        <w:t>public funding</w:t>
      </w:r>
      <w:r w:rsidR="00FC0AF3" w:rsidRPr="72929BFF">
        <w:rPr>
          <w:noProof/>
          <w:lang w:eastAsia="fr-FR"/>
        </w:rPr>
        <w:t xml:space="preserve"> they receive</w:t>
      </w:r>
      <w:r w:rsidR="00FC0AF3">
        <w:rPr>
          <w:noProof/>
          <w:lang w:eastAsia="fr-FR"/>
        </w:rPr>
        <w:t>d</w:t>
      </w:r>
      <w:r w:rsidR="00FC0AF3" w:rsidRPr="72929BFF">
        <w:rPr>
          <w:noProof/>
          <w:lang w:eastAsia="fr-FR"/>
        </w:rPr>
        <w:t xml:space="preserve"> from the </w:t>
      </w:r>
      <w:r w:rsidR="00FC0AF3">
        <w:rPr>
          <w:noProof/>
          <w:lang w:eastAsia="fr-FR"/>
        </w:rPr>
        <w:t xml:space="preserve">national </w:t>
      </w:r>
      <w:r w:rsidR="00FC0AF3" w:rsidRPr="72929BFF">
        <w:rPr>
          <w:noProof/>
          <w:lang w:eastAsia="fr-FR"/>
        </w:rPr>
        <w:t>budget</w:t>
      </w:r>
      <w:r w:rsidR="00FC0AF3">
        <w:rPr>
          <w:noProof/>
          <w:lang w:eastAsia="fr-FR"/>
        </w:rPr>
        <w:t>,</w:t>
      </w:r>
      <w:r w:rsidR="00FC0AF3" w:rsidRPr="08375EB0">
        <w:rPr>
          <w:noProof/>
          <w:lang w:eastAsia="fr-FR"/>
        </w:rPr>
        <w:t xml:space="preserve"> </w:t>
      </w:r>
      <w:r w:rsidR="00FC0AF3" w:rsidRPr="41D41CC6">
        <w:rPr>
          <w:noProof/>
          <w:lang w:eastAsia="fr-FR"/>
        </w:rPr>
        <w:t>increased</w:t>
      </w:r>
      <w:r w:rsidR="00FC0AF3" w:rsidRPr="72929BFF">
        <w:rPr>
          <w:noProof/>
          <w:lang w:eastAsia="fr-FR"/>
        </w:rPr>
        <w:t xml:space="preserve"> further</w:t>
      </w:r>
      <w:r w:rsidR="004D5B1F">
        <w:rPr>
          <w:noProof/>
          <w:lang w:eastAsia="fr-FR"/>
        </w:rPr>
        <w:t xml:space="preserve"> under the previous government</w:t>
      </w:r>
      <w:r w:rsidR="00FC0AF3" w:rsidRPr="41D41CC6">
        <w:rPr>
          <w:rStyle w:val="FootnoteReference"/>
          <w:noProof/>
          <w:lang w:eastAsia="fr-FR"/>
        </w:rPr>
        <w:footnoteReference w:id="238"/>
      </w:r>
      <w:r w:rsidR="00FC0AF3" w:rsidRPr="41D41CC6">
        <w:rPr>
          <w:noProof/>
          <w:lang w:eastAsia="fr-FR"/>
        </w:rPr>
        <w:t xml:space="preserve">. </w:t>
      </w:r>
      <w:r w:rsidR="00A13743">
        <w:rPr>
          <w:noProof/>
          <w:lang w:eastAsia="fr-FR"/>
        </w:rPr>
        <w:t xml:space="preserve">A </w:t>
      </w:r>
      <w:r w:rsidR="00FC0AF3">
        <w:rPr>
          <w:noProof/>
          <w:lang w:eastAsia="fr-FR"/>
        </w:rPr>
        <w:t xml:space="preserve">constitutional amendment </w:t>
      </w:r>
      <w:r w:rsidR="001026F5">
        <w:rPr>
          <w:noProof/>
          <w:lang w:eastAsia="fr-FR"/>
        </w:rPr>
        <w:t xml:space="preserve">adopted on </w:t>
      </w:r>
      <w:r w:rsidR="004D78EA">
        <w:rPr>
          <w:noProof/>
          <w:lang w:eastAsia="fr-FR"/>
        </w:rPr>
        <w:t>15 June 2026</w:t>
      </w:r>
      <w:r w:rsidR="00B71F2A">
        <w:rPr>
          <w:noProof/>
          <w:lang w:eastAsia="fr-FR"/>
        </w:rPr>
        <w:t xml:space="preserve"> and the omnibus law of June 2026</w:t>
      </w:r>
      <w:r w:rsidR="004D78EA">
        <w:rPr>
          <w:noProof/>
          <w:lang w:eastAsia="fr-FR"/>
        </w:rPr>
        <w:t>,</w:t>
      </w:r>
      <w:r w:rsidR="001026F5">
        <w:rPr>
          <w:noProof/>
          <w:lang w:eastAsia="fr-FR"/>
        </w:rPr>
        <w:t xml:space="preserve"> </w:t>
      </w:r>
      <w:r w:rsidR="00F1315B">
        <w:rPr>
          <w:noProof/>
          <w:lang w:eastAsia="fr-FR"/>
        </w:rPr>
        <w:t xml:space="preserve">allow </w:t>
      </w:r>
      <w:r w:rsidR="00FC0AF3">
        <w:rPr>
          <w:noProof/>
          <w:lang w:eastAsia="fr-FR"/>
        </w:rPr>
        <w:t xml:space="preserve">the Government </w:t>
      </w:r>
      <w:r w:rsidR="00900BBE">
        <w:rPr>
          <w:noProof/>
          <w:lang w:eastAsia="fr-FR"/>
        </w:rPr>
        <w:t xml:space="preserve">to phase out </w:t>
      </w:r>
      <w:r w:rsidR="002E7C78">
        <w:rPr>
          <w:noProof/>
          <w:lang w:eastAsia="fr-FR"/>
        </w:rPr>
        <w:t>PIT</w:t>
      </w:r>
      <w:r w:rsidR="00900BBE">
        <w:rPr>
          <w:noProof/>
          <w:lang w:eastAsia="fr-FR"/>
        </w:rPr>
        <w:t>s</w:t>
      </w:r>
      <w:r w:rsidR="000A6F2D">
        <w:rPr>
          <w:noProof/>
          <w:lang w:eastAsia="fr-FR"/>
        </w:rPr>
        <w:t>, renationalise the</w:t>
      </w:r>
      <w:r w:rsidR="00810F94">
        <w:rPr>
          <w:noProof/>
          <w:lang w:eastAsia="fr-FR"/>
        </w:rPr>
        <w:t>ir</w:t>
      </w:r>
      <w:r w:rsidR="000A6F2D">
        <w:rPr>
          <w:noProof/>
          <w:lang w:eastAsia="fr-FR"/>
        </w:rPr>
        <w:t xml:space="preserve"> assets received from the State</w:t>
      </w:r>
      <w:r w:rsidR="00900BBE">
        <w:rPr>
          <w:noProof/>
          <w:lang w:eastAsia="fr-FR"/>
        </w:rPr>
        <w:t xml:space="preserve"> </w:t>
      </w:r>
      <w:r w:rsidR="002473E8">
        <w:rPr>
          <w:noProof/>
          <w:lang w:eastAsia="fr-FR"/>
        </w:rPr>
        <w:t xml:space="preserve">and </w:t>
      </w:r>
      <w:r w:rsidR="00F1315B">
        <w:rPr>
          <w:noProof/>
          <w:lang w:eastAsia="fr-FR"/>
        </w:rPr>
        <w:t xml:space="preserve">to </w:t>
      </w:r>
      <w:r w:rsidR="00FC0AF3">
        <w:rPr>
          <w:noProof/>
          <w:lang w:eastAsia="fr-FR"/>
        </w:rPr>
        <w:t xml:space="preserve">appoint and remove </w:t>
      </w:r>
      <w:r w:rsidR="007C53F8">
        <w:rPr>
          <w:noProof/>
          <w:lang w:eastAsia="fr-FR"/>
        </w:rPr>
        <w:t xml:space="preserve">in the transitional period </w:t>
      </w:r>
      <w:r w:rsidR="00FC0AF3">
        <w:rPr>
          <w:noProof/>
          <w:lang w:eastAsia="fr-FR"/>
        </w:rPr>
        <w:t>their board members</w:t>
      </w:r>
      <w:r w:rsidR="007C53F8">
        <w:rPr>
          <w:noProof/>
          <w:lang w:eastAsia="fr-FR"/>
        </w:rPr>
        <w:t xml:space="preserve"> who need to meet strict eligibility</w:t>
      </w:r>
      <w:r w:rsidR="00C56C6C">
        <w:rPr>
          <w:noProof/>
          <w:lang w:eastAsia="fr-FR"/>
        </w:rPr>
        <w:t xml:space="preserve"> criteria</w:t>
      </w:r>
      <w:r w:rsidR="00CC7888">
        <w:rPr>
          <w:rStyle w:val="FootnoteReference"/>
          <w:noProof/>
          <w:lang w:eastAsia="fr-FR"/>
        </w:rPr>
        <w:footnoteReference w:id="239"/>
      </w:r>
      <w:r w:rsidR="00FC0AF3">
        <w:rPr>
          <w:noProof/>
          <w:lang w:eastAsia="fr-FR"/>
        </w:rPr>
        <w:t>. I</w:t>
      </w:r>
      <w:r w:rsidR="00FC0AF3" w:rsidRPr="41D41CC6">
        <w:rPr>
          <w:noProof/>
          <w:lang w:eastAsia="fr-FR"/>
        </w:rPr>
        <w:t>ndependent CSOs continue to depend on foreign institutional and private donors</w:t>
      </w:r>
      <w:r w:rsidR="00FC0AF3">
        <w:rPr>
          <w:rStyle w:val="FootnoteReference"/>
          <w:noProof/>
          <w:lang w:eastAsia="fr-FR"/>
        </w:rPr>
        <w:footnoteReference w:id="240"/>
      </w:r>
      <w:r w:rsidR="00FC0AF3" w:rsidRPr="41D41CC6">
        <w:rPr>
          <w:noProof/>
          <w:lang w:eastAsia="fr-FR"/>
        </w:rPr>
        <w:t xml:space="preserve">. </w:t>
      </w:r>
      <w:r w:rsidR="00FC0AF3">
        <w:rPr>
          <w:noProof/>
          <w:lang w:eastAsia="fr-FR"/>
        </w:rPr>
        <w:t xml:space="preserve">Under the former </w:t>
      </w:r>
      <w:r w:rsidR="00BF3187">
        <w:rPr>
          <w:noProof/>
          <w:lang w:eastAsia="fr-FR"/>
        </w:rPr>
        <w:t>g</w:t>
      </w:r>
      <w:r w:rsidR="00FC0AF3">
        <w:rPr>
          <w:noProof/>
          <w:lang w:eastAsia="fr-FR"/>
        </w:rPr>
        <w:t>overnment</w:t>
      </w:r>
      <w:r w:rsidR="00FC0AF3" w:rsidRPr="41D41CC6">
        <w:rPr>
          <w:noProof/>
          <w:lang w:eastAsia="fr-FR"/>
        </w:rPr>
        <w:t xml:space="preserve">, CSOs receiving grants from abroad </w:t>
      </w:r>
      <w:r w:rsidR="00FC0AF3">
        <w:rPr>
          <w:noProof/>
          <w:lang w:eastAsia="fr-FR"/>
        </w:rPr>
        <w:t>were</w:t>
      </w:r>
      <w:r w:rsidR="00FC0AF3" w:rsidRPr="41D41CC6">
        <w:rPr>
          <w:noProof/>
          <w:lang w:eastAsia="fr-FR"/>
        </w:rPr>
        <w:t xml:space="preserve"> among the primary targets of smear campaigns</w:t>
      </w:r>
      <w:r w:rsidR="00FC0AF3">
        <w:rPr>
          <w:noProof/>
          <w:lang w:eastAsia="fr-FR"/>
        </w:rPr>
        <w:t>, including reports of the Sovereignty Protection Office</w:t>
      </w:r>
      <w:r w:rsidR="00FC0AF3" w:rsidRPr="41D41CC6">
        <w:rPr>
          <w:rStyle w:val="FootnoteReference"/>
          <w:noProof/>
          <w:lang w:eastAsia="fr-FR"/>
        </w:rPr>
        <w:footnoteReference w:id="241"/>
      </w:r>
      <w:r w:rsidR="00FC0AF3" w:rsidRPr="41D41CC6">
        <w:rPr>
          <w:noProof/>
          <w:lang w:eastAsia="fr-FR"/>
        </w:rPr>
        <w:t xml:space="preserve">. </w:t>
      </w:r>
      <w:r w:rsidR="00FC0AF3">
        <w:rPr>
          <w:noProof/>
          <w:lang w:eastAsia="fr-FR"/>
        </w:rPr>
        <w:t>S</w:t>
      </w:r>
      <w:r w:rsidR="00FC0AF3" w:rsidRPr="41D41CC6">
        <w:rPr>
          <w:noProof/>
          <w:lang w:eastAsia="fr-FR"/>
        </w:rPr>
        <w:t>takeholders report</w:t>
      </w:r>
      <w:r w:rsidR="00FC0AF3">
        <w:rPr>
          <w:noProof/>
          <w:lang w:eastAsia="fr-FR"/>
        </w:rPr>
        <w:t>ed</w:t>
      </w:r>
      <w:r w:rsidR="00FC0AF3" w:rsidRPr="41D41CC6">
        <w:rPr>
          <w:noProof/>
          <w:lang w:eastAsia="fr-FR"/>
        </w:rPr>
        <w:t xml:space="preserve"> deteriorating conditions as some CSOs ha</w:t>
      </w:r>
      <w:r w:rsidR="00FC0AF3">
        <w:rPr>
          <w:noProof/>
          <w:lang w:eastAsia="fr-FR"/>
        </w:rPr>
        <w:t>d</w:t>
      </w:r>
      <w:r w:rsidR="00FC0AF3" w:rsidRPr="41D41CC6">
        <w:rPr>
          <w:noProof/>
          <w:lang w:eastAsia="fr-FR"/>
        </w:rPr>
        <w:t xml:space="preserve"> given up on applying for certain foreign funds </w:t>
      </w:r>
      <w:r w:rsidR="00FC0AF3" w:rsidRPr="72929BFF">
        <w:rPr>
          <w:noProof/>
          <w:lang w:eastAsia="fr-FR"/>
        </w:rPr>
        <w:t>or</w:t>
      </w:r>
      <w:r w:rsidR="00FC0AF3" w:rsidRPr="41D41CC6">
        <w:rPr>
          <w:noProof/>
          <w:lang w:eastAsia="fr-FR"/>
        </w:rPr>
        <w:t xml:space="preserve"> renounced previously awarded foreign funding</w:t>
      </w:r>
      <w:r w:rsidR="00FC0AF3" w:rsidRPr="72929BFF">
        <w:rPr>
          <w:noProof/>
          <w:lang w:eastAsia="fr-FR"/>
        </w:rPr>
        <w:t>. S</w:t>
      </w:r>
      <w:r w:rsidR="00FC0AF3">
        <w:rPr>
          <w:noProof/>
          <w:lang w:eastAsia="fr-FR"/>
        </w:rPr>
        <w:t>takeholders reported that s</w:t>
      </w:r>
      <w:r w:rsidR="00FC0AF3" w:rsidRPr="41D41CC6">
        <w:rPr>
          <w:noProof/>
          <w:lang w:eastAsia="fr-FR"/>
        </w:rPr>
        <w:t xml:space="preserve">ome CSOs </w:t>
      </w:r>
      <w:r w:rsidR="00FC0AF3">
        <w:rPr>
          <w:noProof/>
          <w:lang w:eastAsia="fr-FR"/>
        </w:rPr>
        <w:t xml:space="preserve">had </w:t>
      </w:r>
      <w:r w:rsidR="00FC0AF3" w:rsidRPr="41D41CC6">
        <w:rPr>
          <w:noProof/>
          <w:lang w:eastAsia="fr-FR"/>
        </w:rPr>
        <w:t>g</w:t>
      </w:r>
      <w:r w:rsidR="00FC0AF3">
        <w:rPr>
          <w:noProof/>
          <w:lang w:eastAsia="fr-FR"/>
        </w:rPr>
        <w:t>i</w:t>
      </w:r>
      <w:r w:rsidR="00FC0AF3" w:rsidRPr="41D41CC6">
        <w:rPr>
          <w:noProof/>
          <w:lang w:eastAsia="fr-FR"/>
        </w:rPr>
        <w:t>ve</w:t>
      </w:r>
      <w:r w:rsidR="00FC0AF3">
        <w:rPr>
          <w:noProof/>
          <w:lang w:eastAsia="fr-FR"/>
        </w:rPr>
        <w:t>n</w:t>
      </w:r>
      <w:r w:rsidR="00FC0AF3" w:rsidRPr="41D41CC6">
        <w:rPr>
          <w:noProof/>
          <w:lang w:eastAsia="fr-FR"/>
        </w:rPr>
        <w:t xml:space="preserve"> up on certain activities and limited their communication critical of the </w:t>
      </w:r>
      <w:r w:rsidR="00FC0AF3">
        <w:rPr>
          <w:noProof/>
          <w:lang w:eastAsia="fr-FR"/>
        </w:rPr>
        <w:t>former g</w:t>
      </w:r>
      <w:r w:rsidR="00FC0AF3" w:rsidRPr="00CC6376">
        <w:rPr>
          <w:noProof/>
          <w:lang w:eastAsia="fr-FR"/>
        </w:rPr>
        <w:t>overnment</w:t>
      </w:r>
      <w:r w:rsidR="00FC0AF3" w:rsidRPr="00CC6376">
        <w:rPr>
          <w:rStyle w:val="FootnoteReference"/>
          <w:noProof/>
          <w:lang w:eastAsia="fr-FR"/>
        </w:rPr>
        <w:footnoteReference w:id="242"/>
      </w:r>
      <w:r w:rsidR="00FC0AF3" w:rsidRPr="00CC6376">
        <w:rPr>
          <w:noProof/>
          <w:lang w:eastAsia="fr-FR"/>
        </w:rPr>
        <w:t xml:space="preserve">. </w:t>
      </w:r>
      <w:r w:rsidR="004F28F6">
        <w:rPr>
          <w:noProof/>
          <w:lang w:eastAsia="fr-FR"/>
        </w:rPr>
        <w:t>Overall,</w:t>
      </w:r>
      <w:r w:rsidR="004F28F6" w:rsidRPr="004B3E69">
        <w:rPr>
          <w:noProof/>
          <w:lang w:eastAsia="fr-FR"/>
        </w:rPr>
        <w:t xml:space="preserve"> </w:t>
      </w:r>
      <w:r w:rsidR="002E0D1D">
        <w:rPr>
          <w:noProof/>
          <w:lang w:eastAsia="fr-FR"/>
        </w:rPr>
        <w:t xml:space="preserve">given measures such as the abolition of the Sovereignty Protection Office, </w:t>
      </w:r>
      <w:r w:rsidR="00B77F51" w:rsidRPr="00C068BA">
        <w:rPr>
          <w:noProof/>
          <w:lang w:eastAsia="fr-FR"/>
        </w:rPr>
        <w:t>some progress has been made on this recommendation</w:t>
      </w:r>
      <w:r w:rsidR="004F28F6" w:rsidRPr="00CC6376">
        <w:rPr>
          <w:noProof/>
          <w:lang w:eastAsia="fr-FR"/>
        </w:rPr>
        <w:t>.</w:t>
      </w:r>
      <w:r w:rsidR="00FC0AF3" w:rsidRPr="00990032">
        <w:rPr>
          <w:noProof/>
          <w:lang w:eastAsia="fr-FR"/>
        </w:rPr>
        <w:t xml:space="preserve"> </w:t>
      </w:r>
    </w:p>
    <w:p w14:paraId="780B484B" w14:textId="77777777" w:rsidR="00FC0AF3" w:rsidRPr="006536D8" w:rsidRDefault="00FC0AF3" w:rsidP="00FC0AF3">
      <w:pPr>
        <w:pageBreakBefore/>
        <w:spacing w:after="120" w:line="264" w:lineRule="auto"/>
        <w:rPr>
          <w:b/>
          <w:noProof/>
          <w:lang w:eastAsia="en-GB"/>
        </w:rPr>
      </w:pPr>
      <w:r w:rsidRPr="006536D8">
        <w:rPr>
          <w:b/>
          <w:noProof/>
          <w:lang w:eastAsia="en-GB"/>
        </w:rPr>
        <w:t>Annex I: List of sources in alphabetical order*</w:t>
      </w:r>
    </w:p>
    <w:p w14:paraId="63E166F2" w14:textId="2531CF3A" w:rsidR="00FC0AF3" w:rsidRPr="006536D8" w:rsidRDefault="00FC0AF3" w:rsidP="00FC0AF3">
      <w:pPr>
        <w:spacing w:after="120"/>
        <w:rPr>
          <w:i/>
          <w:noProof/>
          <w:sz w:val="22"/>
          <w:lang w:eastAsia="en-GB"/>
        </w:rPr>
      </w:pPr>
      <w:r w:rsidRPr="006536D8">
        <w:rPr>
          <w:i/>
          <w:noProof/>
          <w:sz w:val="22"/>
          <w:lang w:eastAsia="en-GB"/>
        </w:rPr>
        <w:t xml:space="preserve">* The list of contributions received in the context of the consultation for the 2026 Rule of Law Report can be found at </w:t>
      </w:r>
      <w:hyperlink r:id="rId22" w:history="1">
        <w:r w:rsidR="00D248A8" w:rsidRPr="00C10C8C">
          <w:rPr>
            <w:rStyle w:val="Hyperlink"/>
            <w:i/>
            <w:noProof/>
            <w:sz w:val="22"/>
            <w:lang w:eastAsia="en-GB"/>
          </w:rPr>
          <w:t>https://commission.europa.eu/publications/2026-rule-law-report-targeted-stakeholder-consultation_en</w:t>
        </w:r>
      </w:hyperlink>
      <w:r w:rsidRPr="006536D8">
        <w:rPr>
          <w:i/>
          <w:noProof/>
          <w:sz w:val="22"/>
          <w:lang w:eastAsia="en-GB"/>
        </w:rPr>
        <w:t>.</w:t>
      </w:r>
      <w:r w:rsidR="00D248A8">
        <w:rPr>
          <w:i/>
          <w:noProof/>
          <w:sz w:val="22"/>
          <w:lang w:eastAsia="en-GB"/>
        </w:rPr>
        <w:t xml:space="preserve"> </w:t>
      </w:r>
    </w:p>
    <w:p w14:paraId="3EF2CAA3" w14:textId="4FBCFE0B" w:rsidR="009C3558" w:rsidRPr="00CE666B" w:rsidRDefault="009C3558" w:rsidP="00FC0AF3">
      <w:pPr>
        <w:tabs>
          <w:tab w:val="center" w:pos="4513"/>
        </w:tabs>
        <w:spacing w:after="120"/>
        <w:rPr>
          <w:noProof/>
          <w:sz w:val="22"/>
          <w:lang w:eastAsia="en-GB"/>
        </w:rPr>
      </w:pPr>
      <w:r>
        <w:rPr>
          <w:noProof/>
          <w:sz w:val="22"/>
          <w:lang w:eastAsia="en-GB"/>
        </w:rPr>
        <w:t xml:space="preserve">24.hu (2026), </w:t>
      </w:r>
      <w:r w:rsidRPr="009C3558">
        <w:rPr>
          <w:i/>
          <w:iCs/>
          <w:noProof/>
          <w:sz w:val="22"/>
          <w:lang w:eastAsia="en-GB"/>
        </w:rPr>
        <w:t>László Windisch has taken action: the President of the SAO has initiated the termination of the legal relationship of the President of the Integrity Authority</w:t>
      </w:r>
      <w:r>
        <w:rPr>
          <w:i/>
          <w:iCs/>
          <w:noProof/>
          <w:sz w:val="22"/>
          <w:lang w:eastAsia="en-GB"/>
        </w:rPr>
        <w:t xml:space="preserve">, </w:t>
      </w:r>
      <w:hyperlink r:id="rId23" w:history="1">
        <w:r w:rsidR="00CE666B" w:rsidRPr="00CC4E09">
          <w:rPr>
            <w:rStyle w:val="Hyperlink"/>
            <w:noProof/>
            <w:sz w:val="22"/>
            <w:lang w:eastAsia="en-GB"/>
          </w:rPr>
          <w:t>https://24.hu/belfold/2026/06/16/windisch-laszlo-asz-integritas-hatosag-felmentes-breking/</w:t>
        </w:r>
      </w:hyperlink>
      <w:r w:rsidR="00C117D5">
        <w:rPr>
          <w:noProof/>
          <w:sz w:val="22"/>
          <w:lang w:eastAsia="en-GB"/>
        </w:rPr>
        <w:t>.</w:t>
      </w:r>
    </w:p>
    <w:p w14:paraId="59373BF0" w14:textId="3F972DAC" w:rsidR="00FC0AF3" w:rsidRDefault="00FC0AF3" w:rsidP="00FC0AF3">
      <w:pPr>
        <w:tabs>
          <w:tab w:val="center" w:pos="4513"/>
        </w:tabs>
        <w:spacing w:after="120"/>
        <w:rPr>
          <w:noProof/>
          <w:sz w:val="22"/>
          <w:lang w:eastAsia="en-GB"/>
        </w:rPr>
      </w:pPr>
      <w:r w:rsidRPr="006536D8">
        <w:rPr>
          <w:noProof/>
          <w:sz w:val="22"/>
          <w:lang w:eastAsia="en-GB"/>
        </w:rPr>
        <w:t>24.hu (2025)</w:t>
      </w:r>
      <w:r>
        <w:rPr>
          <w:noProof/>
          <w:sz w:val="22"/>
          <w:lang w:eastAsia="en-GB"/>
        </w:rPr>
        <w:t>,</w:t>
      </w:r>
      <w:r w:rsidRPr="006536D8">
        <w:rPr>
          <w:noProof/>
          <w:sz w:val="22"/>
          <w:lang w:eastAsia="en-GB"/>
        </w:rPr>
        <w:t xml:space="preserve"> </w:t>
      </w:r>
      <w:r w:rsidRPr="006536D8">
        <w:rPr>
          <w:i/>
          <w:iCs/>
          <w:noProof/>
          <w:sz w:val="22"/>
          <w:lang w:eastAsia="en-GB"/>
        </w:rPr>
        <w:t>The competition authority forced into liquidation the company of Lőrinc Mészáros's disgraced ex-son-in-law</w:t>
      </w:r>
      <w:r w:rsidRPr="006536D8">
        <w:rPr>
          <w:noProof/>
          <w:sz w:val="22"/>
          <w:lang w:eastAsia="en-GB"/>
        </w:rPr>
        <w:t xml:space="preserve"> (Bedöntötte a versenyhivatal Mészáros Lőrinc kegyvesztett exvejének a cégét) </w:t>
      </w:r>
      <w:hyperlink r:id="rId24" w:anchor="paywall" w:history="1">
        <w:r w:rsidRPr="006536D8">
          <w:rPr>
            <w:rStyle w:val="Hyperlink"/>
            <w:noProof/>
            <w:sz w:val="22"/>
            <w:lang w:eastAsia="en-GB"/>
          </w:rPr>
          <w:t>https://24.hu/fn/gazdasag/2025/11/19/homlok-zsolt-meszaros-lorinc-kegyvesztett-ex-veje-felszamolas-csodvedelem-megabirsag/#paywall</w:t>
        </w:r>
      </w:hyperlink>
      <w:r w:rsidR="00734622" w:rsidRPr="00734622">
        <w:rPr>
          <w:noProof/>
        </w:rPr>
        <w:t>.</w:t>
      </w:r>
    </w:p>
    <w:p w14:paraId="370340DA" w14:textId="590EC502" w:rsidR="00FC0AF3" w:rsidRPr="00BF42C0" w:rsidRDefault="00FC0AF3" w:rsidP="00FC0AF3">
      <w:pPr>
        <w:tabs>
          <w:tab w:val="center" w:pos="4513"/>
        </w:tabs>
        <w:spacing w:after="120"/>
        <w:rPr>
          <w:noProof/>
          <w:sz w:val="22"/>
          <w:lang w:eastAsia="en-GB"/>
        </w:rPr>
      </w:pPr>
      <w:r w:rsidRPr="0093307A">
        <w:rPr>
          <w:noProof/>
          <w:sz w:val="22"/>
          <w:lang w:eastAsia="en-GB"/>
        </w:rPr>
        <w:t xml:space="preserve">24.hu (2025b), </w:t>
      </w:r>
      <w:r w:rsidRPr="00E37CC9">
        <w:rPr>
          <w:i/>
          <w:iCs/>
          <w:noProof/>
          <w:sz w:val="22"/>
          <w:lang w:eastAsia="en-GB"/>
        </w:rPr>
        <w:t xml:space="preserve">The </w:t>
      </w:r>
      <w:r>
        <w:rPr>
          <w:i/>
          <w:iCs/>
          <w:noProof/>
          <w:sz w:val="22"/>
          <w:lang w:eastAsia="en-GB"/>
        </w:rPr>
        <w:t>President</w:t>
      </w:r>
      <w:r w:rsidRPr="00E37CC9">
        <w:rPr>
          <w:i/>
          <w:iCs/>
          <w:noProof/>
          <w:sz w:val="22"/>
          <w:lang w:eastAsia="en-GB"/>
        </w:rPr>
        <w:t xml:space="preserve"> of the Integrity Authority, who is suspected of abuse of office, will not be fired</w:t>
      </w:r>
      <w:r w:rsidRPr="00B10AE4">
        <w:rPr>
          <w:noProof/>
          <w:sz w:val="22"/>
          <w:lang w:eastAsia="en-GB"/>
        </w:rPr>
        <w:t xml:space="preserve"> </w:t>
      </w:r>
      <w:r w:rsidRPr="0093307A">
        <w:rPr>
          <w:noProof/>
          <w:sz w:val="22"/>
          <w:lang w:eastAsia="en-GB"/>
        </w:rPr>
        <w:t xml:space="preserve">(Nem rúgják ki az Integritás Hatóság elnökét, akit hivatali visszaéléssel gyanúsítanak). </w:t>
      </w:r>
      <w:hyperlink r:id="rId25" w:history="1">
        <w:r w:rsidRPr="00BF42C0">
          <w:rPr>
            <w:rStyle w:val="Hyperlink"/>
            <w:noProof/>
            <w:sz w:val="22"/>
            <w:lang w:eastAsia="en-GB"/>
          </w:rPr>
          <w:t>https://24.hu/belfold/2025/08/19/integritas-hatosag-biro-ferenc-hivatali-visszaeles-allami-szamvevoszek-ugyeszseg/</w:t>
        </w:r>
      </w:hyperlink>
      <w:r w:rsidR="00734622" w:rsidRPr="006536D8">
        <w:rPr>
          <w:noProof/>
          <w:sz w:val="22"/>
          <w:lang w:eastAsia="en-GB"/>
        </w:rPr>
        <w:t>.</w:t>
      </w:r>
    </w:p>
    <w:p w14:paraId="12DBBCCC" w14:textId="54450D2A" w:rsidR="00FC0AF3" w:rsidRPr="00BF42C0" w:rsidRDefault="00FC0AF3" w:rsidP="00FC0AF3">
      <w:pPr>
        <w:tabs>
          <w:tab w:val="center" w:pos="4513"/>
        </w:tabs>
        <w:spacing w:after="120"/>
        <w:rPr>
          <w:noProof/>
          <w:sz w:val="22"/>
          <w:lang w:eastAsia="en-GB"/>
        </w:rPr>
      </w:pPr>
      <w:r w:rsidRPr="00BF42C0">
        <w:rPr>
          <w:noProof/>
          <w:sz w:val="22"/>
          <w:lang w:eastAsia="en-GB"/>
        </w:rPr>
        <w:t xml:space="preserve">444.hu (2025), The government’s money tap has been reopened, pouring public money into NGOs close to the state party (Újra kinyílt a kormányzati pénzcsap, ami közpénzt önt az állampárthoz közel álló civil szervezetekre) </w:t>
      </w:r>
      <w:hyperlink r:id="rId26" w:history="1">
        <w:r w:rsidRPr="00BF42C0">
          <w:rPr>
            <w:rStyle w:val="Hyperlink"/>
            <w:noProof/>
            <w:sz w:val="22"/>
            <w:lang w:eastAsia="en-GB"/>
          </w:rPr>
          <w:t>https://444.hu/2025/05/21/ujra-kinyilt-a-kormanyzati-penzcsap-ami-kozpenzt-ont-az-allamparthoz-kozel-allo-civil-szervezetekre</w:t>
        </w:r>
      </w:hyperlink>
      <w:r w:rsidR="00734622" w:rsidRPr="006536D8">
        <w:rPr>
          <w:noProof/>
          <w:sz w:val="22"/>
          <w:lang w:eastAsia="en-GB"/>
        </w:rPr>
        <w:t>.</w:t>
      </w:r>
      <w:r w:rsidRPr="00BF42C0">
        <w:rPr>
          <w:noProof/>
          <w:sz w:val="22"/>
          <w:lang w:eastAsia="en-GB"/>
        </w:rPr>
        <w:t xml:space="preserve"> </w:t>
      </w:r>
    </w:p>
    <w:p w14:paraId="12E68A2C" w14:textId="41FFDA88" w:rsidR="00FC0AF3" w:rsidRPr="00BF42C0" w:rsidRDefault="00FC0AF3" w:rsidP="00FC0AF3">
      <w:pPr>
        <w:tabs>
          <w:tab w:val="center" w:pos="4513"/>
        </w:tabs>
        <w:spacing w:after="120"/>
        <w:rPr>
          <w:noProof/>
          <w:sz w:val="22"/>
          <w:lang w:eastAsia="en-GB"/>
        </w:rPr>
      </w:pPr>
      <w:r w:rsidRPr="00BF42C0">
        <w:rPr>
          <w:noProof/>
          <w:sz w:val="22"/>
          <w:lang w:eastAsia="en-GB"/>
        </w:rPr>
        <w:t xml:space="preserve">444.hu (2025), The court has ruled: we cannot access the contracts related to the preparations for the Chad mission because the court cannot review Péter Szijjártó’s ‘opinion’ (Döntött a bíróság: nem ismerhetjük meg a csádi misszió előkészítéséhez kötődő szerződéseket, mert Szijjártó Péter „Véleményét” a bíróság nem vizsgálhatja felül) </w:t>
      </w:r>
      <w:hyperlink r:id="rId27" w:history="1">
        <w:r w:rsidRPr="00BF42C0">
          <w:rPr>
            <w:rStyle w:val="Hyperlink"/>
            <w:noProof/>
            <w:sz w:val="22"/>
            <w:lang w:eastAsia="en-GB"/>
          </w:rPr>
          <w:t>https://444.hu/2025/11/23/dontott-a-birosag-nem-ismerhetjuk-meg-a-csadi-misszio-elokeszitesehez-kotodo-szerzodeseket-mert-szijjarto-peter-velemenyet-a-birosag-nem-vizsgalhatja-felul</w:t>
        </w:r>
      </w:hyperlink>
      <w:r w:rsidR="00734622" w:rsidRPr="006536D8">
        <w:rPr>
          <w:noProof/>
          <w:sz w:val="22"/>
          <w:lang w:eastAsia="en-GB"/>
        </w:rPr>
        <w:t>.</w:t>
      </w:r>
      <w:r w:rsidRPr="00BF42C0">
        <w:rPr>
          <w:noProof/>
          <w:sz w:val="22"/>
          <w:lang w:eastAsia="en-GB"/>
        </w:rPr>
        <w:t xml:space="preserve"> </w:t>
      </w:r>
    </w:p>
    <w:p w14:paraId="314F65F8" w14:textId="4ABC3DE7" w:rsidR="00FC0AF3" w:rsidRPr="006536D8" w:rsidRDefault="00FC0AF3" w:rsidP="00FC0AF3">
      <w:pPr>
        <w:tabs>
          <w:tab w:val="center" w:pos="4513"/>
        </w:tabs>
        <w:spacing w:after="120"/>
        <w:rPr>
          <w:noProof/>
          <w:sz w:val="22"/>
          <w:lang w:eastAsia="en-GB"/>
        </w:rPr>
      </w:pPr>
      <w:r w:rsidRPr="006536D8">
        <w:rPr>
          <w:noProof/>
          <w:sz w:val="22"/>
          <w:lang w:eastAsia="en-GB"/>
        </w:rPr>
        <w:t xml:space="preserve">Amnesty International Hungary, Hungarian Civil Liberties Union, Hungarian Helsinki Committee, K-Monitor, Mérték Media Monitor, Ökotárs – Hungarian Environmental Partnership Foundation, Political Capital, Transparency International Hungary (2026), </w:t>
      </w:r>
      <w:r w:rsidRPr="006536D8">
        <w:rPr>
          <w:i/>
          <w:iCs/>
          <w:noProof/>
          <w:sz w:val="22"/>
          <w:lang w:eastAsia="en-GB"/>
        </w:rPr>
        <w:t>Contribution for the 2026 Rule of Law Report.</w:t>
      </w:r>
      <w:r>
        <w:rPr>
          <w:i/>
          <w:iCs/>
          <w:noProof/>
          <w:sz w:val="22"/>
          <w:lang w:eastAsia="en-GB"/>
        </w:rPr>
        <w:br/>
      </w:r>
      <w:hyperlink r:id="rId28" w:history="1">
        <w:r w:rsidRPr="00C117D5">
          <w:rPr>
            <w:rStyle w:val="Hyperlink"/>
            <w:noProof/>
            <w:sz w:val="22"/>
            <w:lang w:eastAsia="en-GB"/>
          </w:rPr>
          <w:t>https://helsinki.hu/en/wp-content/uploads/sites/2/2026/01/HUN_CSO_contribution_EC_RoL_Report_2026.pdf</w:t>
        </w:r>
      </w:hyperlink>
      <w:r w:rsidR="00734622" w:rsidRPr="00C117D5">
        <w:rPr>
          <w:noProof/>
          <w:sz w:val="22"/>
          <w:lang w:eastAsia="en-GB"/>
        </w:rPr>
        <w:t>.</w:t>
      </w:r>
      <w:r w:rsidRPr="006536D8">
        <w:rPr>
          <w:i/>
          <w:iCs/>
          <w:noProof/>
          <w:sz w:val="22"/>
          <w:lang w:eastAsia="en-GB"/>
        </w:rPr>
        <w:t xml:space="preserve"> </w:t>
      </w:r>
    </w:p>
    <w:p w14:paraId="2EDAF778" w14:textId="106CDF44" w:rsidR="002F07FB" w:rsidRDefault="002F07FB" w:rsidP="0097617C">
      <w:pPr>
        <w:tabs>
          <w:tab w:val="center" w:pos="4513"/>
        </w:tabs>
        <w:spacing w:after="120"/>
        <w:rPr>
          <w:noProof/>
          <w:sz w:val="22"/>
          <w:lang w:eastAsia="en-GB"/>
        </w:rPr>
      </w:pPr>
      <w:r>
        <w:rPr>
          <w:noProof/>
          <w:sz w:val="22"/>
          <w:lang w:eastAsia="en-GB"/>
        </w:rPr>
        <w:t>Anti-Corruption Task Force</w:t>
      </w:r>
      <w:r w:rsidRPr="009F3915">
        <w:rPr>
          <w:noProof/>
          <w:sz w:val="22"/>
          <w:lang w:eastAsia="en-GB"/>
        </w:rPr>
        <w:t xml:space="preserve"> (2025), </w:t>
      </w:r>
      <w:r w:rsidRPr="00212F12">
        <w:rPr>
          <w:i/>
          <w:iCs/>
          <w:noProof/>
          <w:sz w:val="22"/>
          <w:lang w:eastAsia="en-GB"/>
        </w:rPr>
        <w:t>Renewal of the operation of the Anti-Corruption Task Force - summary report</w:t>
      </w:r>
      <w:r w:rsidRPr="009F3915">
        <w:rPr>
          <w:noProof/>
          <w:sz w:val="22"/>
          <w:lang w:eastAsia="en-GB"/>
        </w:rPr>
        <w:t xml:space="preserve">, </w:t>
      </w:r>
      <w:hyperlink r:id="rId29" w:history="1">
        <w:r w:rsidR="00DE6F80" w:rsidRPr="00605139">
          <w:rPr>
            <w:rStyle w:val="Hyperlink"/>
            <w:noProof/>
            <w:sz w:val="22"/>
            <w:lang w:eastAsia="en-GB"/>
          </w:rPr>
          <w:t>https://kemcs.hu/wp-content/uploads/2025/09/KEMCS_felulvizsgalat_jelentes.pdf</w:t>
        </w:r>
      </w:hyperlink>
      <w:r>
        <w:rPr>
          <w:noProof/>
          <w:sz w:val="22"/>
          <w:lang w:eastAsia="en-GB"/>
        </w:rPr>
        <w:t xml:space="preserve">. </w:t>
      </w:r>
    </w:p>
    <w:p w14:paraId="1F1656EA" w14:textId="4082F1D3" w:rsidR="002532A6" w:rsidRDefault="002532A6" w:rsidP="00FC0AF3">
      <w:pPr>
        <w:tabs>
          <w:tab w:val="center" w:pos="4513"/>
        </w:tabs>
        <w:spacing w:after="120"/>
        <w:rPr>
          <w:noProof/>
        </w:rPr>
      </w:pPr>
      <w:r>
        <w:rPr>
          <w:noProof/>
          <w:sz w:val="22"/>
          <w:lang w:eastAsia="en-GB"/>
        </w:rPr>
        <w:t>Anti-Corruption Task Force</w:t>
      </w:r>
      <w:r w:rsidR="004C2A53">
        <w:rPr>
          <w:noProof/>
          <w:sz w:val="22"/>
          <w:lang w:eastAsia="en-GB"/>
        </w:rPr>
        <w:t xml:space="preserve"> (2026)</w:t>
      </w:r>
      <w:r>
        <w:rPr>
          <w:noProof/>
          <w:sz w:val="22"/>
          <w:lang w:eastAsia="en-GB"/>
        </w:rPr>
        <w:t>,</w:t>
      </w:r>
      <w:r w:rsidR="00353DAC">
        <w:rPr>
          <w:noProof/>
          <w:sz w:val="22"/>
          <w:lang w:eastAsia="en-GB"/>
        </w:rPr>
        <w:t xml:space="preserve"> </w:t>
      </w:r>
      <w:r w:rsidR="004C2A53" w:rsidRPr="00911162">
        <w:rPr>
          <w:i/>
          <w:noProof/>
          <w:sz w:val="22"/>
          <w:lang w:eastAsia="en-GB"/>
        </w:rPr>
        <w:t>Annual report for 2025</w:t>
      </w:r>
      <w:r w:rsidR="004C2A53">
        <w:rPr>
          <w:noProof/>
          <w:sz w:val="22"/>
          <w:lang w:eastAsia="en-GB"/>
        </w:rPr>
        <w:t>,</w:t>
      </w:r>
      <w:r>
        <w:rPr>
          <w:noProof/>
          <w:sz w:val="22"/>
          <w:lang w:eastAsia="en-GB"/>
        </w:rPr>
        <w:t xml:space="preserve"> </w:t>
      </w:r>
      <w:hyperlink r:id="rId30" w:history="1">
        <w:r w:rsidR="00353DAC" w:rsidRPr="00E81C8D">
          <w:rPr>
            <w:rStyle w:val="Hyperlink"/>
            <w:noProof/>
            <w:sz w:val="22"/>
          </w:rPr>
          <w:t>https://www.kemcs.hu/wp-content/uploads/2026/03/KEMCS_2025_Eves_Jelentes.pdf</w:t>
        </w:r>
      </w:hyperlink>
      <w:r w:rsidR="004C2A53">
        <w:rPr>
          <w:noProof/>
        </w:rPr>
        <w:t xml:space="preserve">. </w:t>
      </w:r>
    </w:p>
    <w:p w14:paraId="40F7095F" w14:textId="77777777" w:rsidR="002F07FB" w:rsidRPr="006536D8" w:rsidRDefault="002F07FB" w:rsidP="00FC0AF3">
      <w:pPr>
        <w:tabs>
          <w:tab w:val="center" w:pos="4513"/>
        </w:tabs>
        <w:spacing w:after="120"/>
        <w:rPr>
          <w:noProof/>
          <w:sz w:val="22"/>
          <w:lang w:eastAsia="en-GB"/>
        </w:rPr>
      </w:pPr>
      <w:r w:rsidRPr="006536D8">
        <w:rPr>
          <w:noProof/>
          <w:sz w:val="22"/>
          <w:lang w:eastAsia="en-GB"/>
        </w:rPr>
        <w:t xml:space="preserve">Center for Reproductive Rights (2026), </w:t>
      </w:r>
      <w:r w:rsidRPr="006536D8">
        <w:rPr>
          <w:noProof/>
          <w:sz w:val="22"/>
          <w:lang w:eastAsia="en-GB"/>
        </w:rPr>
        <w:tab/>
      </w:r>
      <w:r w:rsidRPr="006536D8">
        <w:rPr>
          <w:i/>
          <w:iCs/>
          <w:noProof/>
          <w:sz w:val="22"/>
          <w:lang w:eastAsia="en-GB"/>
        </w:rPr>
        <w:t>Contribution for the 2026 Rule of Law Report</w:t>
      </w:r>
      <w:r w:rsidRPr="006536D8">
        <w:rPr>
          <w:noProof/>
          <w:sz w:val="22"/>
          <w:lang w:eastAsia="en-GB"/>
        </w:rPr>
        <w:t>.</w:t>
      </w:r>
    </w:p>
    <w:p w14:paraId="4E07A679" w14:textId="2D5E1BBC" w:rsidR="00FC0AF3" w:rsidRPr="00B75BD3" w:rsidRDefault="00FC0AF3" w:rsidP="00FC0AF3">
      <w:pPr>
        <w:tabs>
          <w:tab w:val="center" w:pos="4513"/>
        </w:tabs>
        <w:spacing w:after="120"/>
        <w:rPr>
          <w:i/>
          <w:iCs/>
          <w:noProof/>
          <w:sz w:val="22"/>
          <w:lang w:eastAsia="en-GB"/>
        </w:rPr>
      </w:pPr>
      <w:r w:rsidRPr="00E06054">
        <w:rPr>
          <w:noProof/>
          <w:sz w:val="22"/>
          <w:lang w:eastAsia="en-GB"/>
        </w:rPr>
        <w:t>Centre for Media Pluralism and Media Freedom (202</w:t>
      </w:r>
      <w:r>
        <w:rPr>
          <w:noProof/>
          <w:sz w:val="22"/>
          <w:lang w:eastAsia="en-GB"/>
        </w:rPr>
        <w:t>6</w:t>
      </w:r>
      <w:r w:rsidRPr="00E06054">
        <w:rPr>
          <w:noProof/>
          <w:sz w:val="22"/>
          <w:lang w:eastAsia="en-GB"/>
        </w:rPr>
        <w:t xml:space="preserve">), </w:t>
      </w:r>
      <w:r w:rsidRPr="00B75BD3">
        <w:rPr>
          <w:i/>
          <w:iCs/>
          <w:noProof/>
          <w:sz w:val="22"/>
          <w:lang w:eastAsia="en-GB"/>
        </w:rPr>
        <w:t xml:space="preserve">Media Pluralism Monitor 2026, Country report for Hungary, </w:t>
      </w:r>
      <w:hyperlink r:id="rId31" w:history="1">
        <w:r w:rsidR="00F05118" w:rsidRPr="00F05118">
          <w:rPr>
            <w:rStyle w:val="Hyperlink"/>
            <w:noProof/>
            <w:sz w:val="22"/>
            <w:lang w:eastAsia="en-GB"/>
          </w:rPr>
          <w:t>https://cmpf.eui.eu/projects/media-pluralism-monitor/</w:t>
        </w:r>
      </w:hyperlink>
      <w:r w:rsidRPr="00B75BD3">
        <w:rPr>
          <w:i/>
          <w:iCs/>
          <w:noProof/>
          <w:sz w:val="22"/>
          <w:lang w:eastAsia="en-GB"/>
        </w:rPr>
        <w:t>.</w:t>
      </w:r>
    </w:p>
    <w:p w14:paraId="50B13AA1" w14:textId="16A4C627" w:rsidR="00FC0AF3" w:rsidRPr="00911162" w:rsidRDefault="00FC0AF3" w:rsidP="00FC0AF3">
      <w:pPr>
        <w:spacing w:after="120"/>
        <w:rPr>
          <w:noProof/>
          <w:sz w:val="22"/>
          <w:lang w:val="pt-PT" w:eastAsia="en-GB"/>
        </w:rPr>
      </w:pPr>
      <w:r w:rsidRPr="00911162">
        <w:rPr>
          <w:noProof/>
          <w:sz w:val="22"/>
          <w:lang w:val="pt-PT" w:eastAsia="en-GB"/>
        </w:rPr>
        <w:t xml:space="preserve">CIVICUS (2026), CIVICUS Monitor </w:t>
      </w:r>
      <w:hyperlink r:id="rId32" w:history="1">
        <w:r w:rsidRPr="00911162">
          <w:rPr>
            <w:rStyle w:val="Hyperlink"/>
            <w:noProof/>
            <w:sz w:val="22"/>
            <w:lang w:val="pt-PT" w:eastAsia="en-GB"/>
          </w:rPr>
          <w:t>https://monitor.civicus.org/country/hungary/</w:t>
        </w:r>
      </w:hyperlink>
      <w:r w:rsidR="00734622" w:rsidRPr="00911162">
        <w:rPr>
          <w:noProof/>
          <w:sz w:val="22"/>
          <w:lang w:val="pt-PT" w:eastAsia="en-GB"/>
        </w:rPr>
        <w:t>.</w:t>
      </w:r>
      <w:r w:rsidRPr="00911162">
        <w:rPr>
          <w:noProof/>
          <w:sz w:val="22"/>
          <w:lang w:val="pt-PT" w:eastAsia="en-GB"/>
        </w:rPr>
        <w:t xml:space="preserve"> </w:t>
      </w:r>
    </w:p>
    <w:p w14:paraId="0E47C0AF" w14:textId="1643A340" w:rsidR="002F07FB" w:rsidRPr="00474853" w:rsidRDefault="002F07FB" w:rsidP="0097617C">
      <w:pPr>
        <w:tabs>
          <w:tab w:val="center" w:pos="4513"/>
        </w:tabs>
        <w:spacing w:after="120"/>
        <w:rPr>
          <w:noProof/>
          <w:sz w:val="22"/>
          <w:szCs w:val="22"/>
          <w:lang w:eastAsia="en-GB"/>
        </w:rPr>
      </w:pPr>
      <w:r w:rsidRPr="00212F12">
        <w:rPr>
          <w:noProof/>
          <w:sz w:val="22"/>
          <w:lang w:eastAsia="en-GB"/>
        </w:rPr>
        <w:t xml:space="preserve">Commissioner For Fundamental Rights (2025), </w:t>
      </w:r>
      <w:r w:rsidRPr="00212F12">
        <w:rPr>
          <w:i/>
          <w:iCs/>
          <w:noProof/>
          <w:sz w:val="22"/>
          <w:lang w:eastAsia="en-GB"/>
        </w:rPr>
        <w:t xml:space="preserve">Report on the activities of the Commissioner for </w:t>
      </w:r>
      <w:r w:rsidRPr="00474853">
        <w:rPr>
          <w:i/>
          <w:iCs/>
          <w:noProof/>
          <w:sz w:val="22"/>
          <w:szCs w:val="22"/>
          <w:lang w:eastAsia="en-GB"/>
        </w:rPr>
        <w:t>Fundamental Rights and his deputies 2024</w:t>
      </w:r>
      <w:r w:rsidRPr="00474853">
        <w:rPr>
          <w:noProof/>
          <w:sz w:val="22"/>
          <w:szCs w:val="22"/>
          <w:lang w:eastAsia="en-GB"/>
        </w:rPr>
        <w:t xml:space="preserve">, </w:t>
      </w:r>
      <w:hyperlink r:id="rId33" w:history="1">
        <w:r w:rsidR="00474853" w:rsidRPr="00474853">
          <w:rPr>
            <w:rStyle w:val="Hyperlink"/>
            <w:noProof/>
            <w:sz w:val="22"/>
            <w:szCs w:val="22"/>
          </w:rPr>
          <w:t>https://www.parlament.hu/irom42/11125/11125.pdf</w:t>
        </w:r>
      </w:hyperlink>
      <w:r w:rsidRPr="00474853">
        <w:rPr>
          <w:noProof/>
          <w:sz w:val="22"/>
          <w:szCs w:val="22"/>
          <w:lang w:eastAsia="en-GB"/>
        </w:rPr>
        <w:t xml:space="preserve">.  </w:t>
      </w:r>
    </w:p>
    <w:p w14:paraId="3A230523" w14:textId="323862FD" w:rsidR="00FC0AF3" w:rsidRDefault="00FC0AF3" w:rsidP="00FC0AF3">
      <w:pPr>
        <w:spacing w:after="120"/>
        <w:rPr>
          <w:noProof/>
          <w:sz w:val="22"/>
          <w:lang w:eastAsia="en-GB"/>
        </w:rPr>
      </w:pPr>
      <w:r w:rsidRPr="00CB3F2F">
        <w:rPr>
          <w:noProof/>
          <w:sz w:val="22"/>
          <w:lang w:eastAsia="en-GB"/>
        </w:rPr>
        <w:t>Corruption Research Center Budapest</w:t>
      </w:r>
      <w:r>
        <w:rPr>
          <w:noProof/>
          <w:sz w:val="22"/>
          <w:lang w:eastAsia="en-GB"/>
        </w:rPr>
        <w:t xml:space="preserve"> (2026),</w:t>
      </w:r>
      <w:r w:rsidRPr="00CB3F2F">
        <w:rPr>
          <w:noProof/>
          <w:sz w:val="22"/>
          <w:lang w:eastAsia="en-GB"/>
        </w:rPr>
        <w:t xml:space="preserve"> </w:t>
      </w:r>
      <w:r w:rsidRPr="003B4010">
        <w:rPr>
          <w:i/>
          <w:iCs/>
          <w:noProof/>
          <w:sz w:val="22"/>
          <w:lang w:eastAsia="en-GB"/>
        </w:rPr>
        <w:t>The New Trends of Corruption Risk in Hungarian Public Procurement from January 1998 to September 2025; CRCB Statistical Flash Report 2026:1</w:t>
      </w:r>
      <w:r w:rsidR="00734622" w:rsidRPr="006536D8">
        <w:rPr>
          <w:noProof/>
          <w:sz w:val="22"/>
          <w:lang w:eastAsia="en-GB"/>
        </w:rPr>
        <w:t>.</w:t>
      </w:r>
    </w:p>
    <w:p w14:paraId="6C88D09A" w14:textId="77777777" w:rsidR="00FC0AF3" w:rsidRDefault="00FC0AF3" w:rsidP="00FC0AF3">
      <w:pPr>
        <w:spacing w:after="120"/>
        <w:rPr>
          <w:noProof/>
          <w:sz w:val="22"/>
          <w:lang w:eastAsia="en-GB"/>
        </w:rPr>
      </w:pPr>
      <w:r w:rsidRPr="00EE46BB">
        <w:rPr>
          <w:noProof/>
          <w:sz w:val="22"/>
          <w:lang w:eastAsia="en-GB"/>
        </w:rPr>
        <w:t xml:space="preserve">Court of Justice of the European Union, judgment of </w:t>
      </w:r>
      <w:r w:rsidRPr="00521339">
        <w:rPr>
          <w:noProof/>
          <w:sz w:val="22"/>
          <w:lang w:eastAsia="en-GB"/>
        </w:rPr>
        <w:t>12 September 2024</w:t>
      </w:r>
      <w:r w:rsidRPr="00EE46BB">
        <w:rPr>
          <w:noProof/>
          <w:sz w:val="22"/>
          <w:lang w:eastAsia="en-GB"/>
        </w:rPr>
        <w:t>,</w:t>
      </w:r>
      <w:r>
        <w:rPr>
          <w:noProof/>
          <w:sz w:val="22"/>
          <w:lang w:eastAsia="en-GB"/>
        </w:rPr>
        <w:t xml:space="preserve"> </w:t>
      </w:r>
      <w:r w:rsidRPr="00EA34B9">
        <w:rPr>
          <w:i/>
          <w:iCs/>
          <w:noProof/>
          <w:sz w:val="22"/>
          <w:lang w:eastAsia="en-GB"/>
        </w:rPr>
        <w:t>SPAR Magyarország</w:t>
      </w:r>
      <w:r>
        <w:rPr>
          <w:noProof/>
          <w:sz w:val="22"/>
          <w:lang w:eastAsia="en-GB"/>
        </w:rPr>
        <w:t xml:space="preserve">, </w:t>
      </w:r>
      <w:r w:rsidRPr="00521339">
        <w:rPr>
          <w:noProof/>
          <w:sz w:val="22"/>
          <w:lang w:eastAsia="en-GB"/>
        </w:rPr>
        <w:t>C-557/23</w:t>
      </w:r>
      <w:r>
        <w:rPr>
          <w:noProof/>
          <w:sz w:val="22"/>
          <w:lang w:eastAsia="en-GB"/>
        </w:rPr>
        <w:t xml:space="preserve">, </w:t>
      </w:r>
      <w:r w:rsidRPr="0066073E">
        <w:rPr>
          <w:noProof/>
          <w:sz w:val="22"/>
          <w:lang w:eastAsia="en-GB"/>
        </w:rPr>
        <w:t>ECLI:EU:C:2024:737</w:t>
      </w:r>
      <w:r>
        <w:rPr>
          <w:noProof/>
          <w:sz w:val="22"/>
          <w:lang w:eastAsia="en-GB"/>
        </w:rPr>
        <w:t>.</w:t>
      </w:r>
    </w:p>
    <w:p w14:paraId="57B78952" w14:textId="77777777" w:rsidR="00FC0AF3" w:rsidRDefault="00FC0AF3" w:rsidP="00FC0AF3">
      <w:pPr>
        <w:spacing w:after="120"/>
        <w:rPr>
          <w:noProof/>
          <w:sz w:val="22"/>
          <w:lang w:eastAsia="en-GB"/>
        </w:rPr>
      </w:pPr>
      <w:r w:rsidRPr="00EE46BB">
        <w:rPr>
          <w:noProof/>
          <w:sz w:val="22"/>
          <w:lang w:eastAsia="en-GB"/>
        </w:rPr>
        <w:t xml:space="preserve">Court of Justice of the European Union, judgment of </w:t>
      </w:r>
      <w:r w:rsidRPr="001C06F7">
        <w:rPr>
          <w:noProof/>
          <w:sz w:val="22"/>
          <w:lang w:eastAsia="en-GB"/>
        </w:rPr>
        <w:t>13 November 2025</w:t>
      </w:r>
      <w:r w:rsidRPr="00EE46BB">
        <w:rPr>
          <w:noProof/>
          <w:sz w:val="22"/>
          <w:lang w:eastAsia="en-GB"/>
        </w:rPr>
        <w:t>,</w:t>
      </w:r>
      <w:r>
        <w:rPr>
          <w:noProof/>
          <w:sz w:val="22"/>
          <w:lang w:eastAsia="en-GB"/>
        </w:rPr>
        <w:t xml:space="preserve"> </w:t>
      </w:r>
      <w:r w:rsidRPr="00EA34B9">
        <w:rPr>
          <w:i/>
          <w:iCs/>
          <w:noProof/>
          <w:sz w:val="22"/>
          <w:lang w:eastAsia="en-GB"/>
        </w:rPr>
        <w:t>Commission v Hungary (Construction materials for critical infrastructure)</w:t>
      </w:r>
      <w:r>
        <w:rPr>
          <w:noProof/>
          <w:sz w:val="22"/>
          <w:lang w:eastAsia="en-GB"/>
        </w:rPr>
        <w:t xml:space="preserve">, </w:t>
      </w:r>
      <w:r w:rsidRPr="00C51C63">
        <w:rPr>
          <w:noProof/>
          <w:sz w:val="22"/>
          <w:lang w:eastAsia="en-GB"/>
        </w:rPr>
        <w:t>C-499/23</w:t>
      </w:r>
      <w:r>
        <w:rPr>
          <w:noProof/>
          <w:sz w:val="22"/>
          <w:lang w:eastAsia="en-GB"/>
        </w:rPr>
        <w:t>, ECLI:</w:t>
      </w:r>
      <w:r w:rsidRPr="00C51C63">
        <w:rPr>
          <w:noProof/>
          <w:sz w:val="22"/>
          <w:lang w:eastAsia="en-GB"/>
        </w:rPr>
        <w:t>EU:C:2025:875</w:t>
      </w:r>
      <w:r>
        <w:rPr>
          <w:noProof/>
          <w:sz w:val="22"/>
          <w:lang w:eastAsia="en-GB"/>
        </w:rPr>
        <w:t>.</w:t>
      </w:r>
    </w:p>
    <w:p w14:paraId="64CED6A9" w14:textId="77777777" w:rsidR="002F07FB" w:rsidRDefault="002F07FB" w:rsidP="00FC0AF3">
      <w:pPr>
        <w:spacing w:after="120"/>
        <w:rPr>
          <w:noProof/>
          <w:sz w:val="22"/>
          <w:lang w:eastAsia="en-GB"/>
        </w:rPr>
      </w:pPr>
      <w:r w:rsidRPr="00EE46BB">
        <w:rPr>
          <w:noProof/>
          <w:sz w:val="22"/>
          <w:lang w:eastAsia="en-GB"/>
        </w:rPr>
        <w:t>Court of Justice of the European Union, judgment of</w:t>
      </w:r>
      <w:r>
        <w:rPr>
          <w:noProof/>
          <w:sz w:val="22"/>
          <w:lang w:eastAsia="en-GB"/>
        </w:rPr>
        <w:t xml:space="preserve"> 16 April 2026, </w:t>
      </w:r>
      <w:r w:rsidRPr="00EA34B9">
        <w:rPr>
          <w:i/>
          <w:iCs/>
          <w:noProof/>
          <w:sz w:val="22"/>
          <w:lang w:eastAsia="en-GB"/>
        </w:rPr>
        <w:t>Nitrogénművek</w:t>
      </w:r>
      <w:r>
        <w:rPr>
          <w:noProof/>
          <w:sz w:val="22"/>
          <w:lang w:eastAsia="en-GB"/>
        </w:rPr>
        <w:t xml:space="preserve">, </w:t>
      </w:r>
      <w:r w:rsidRPr="006617FE">
        <w:rPr>
          <w:noProof/>
          <w:sz w:val="22"/>
          <w:lang w:eastAsia="en-GB"/>
        </w:rPr>
        <w:t>C‑519/24</w:t>
      </w:r>
      <w:r>
        <w:rPr>
          <w:noProof/>
          <w:sz w:val="22"/>
          <w:lang w:eastAsia="en-GB"/>
        </w:rPr>
        <w:t xml:space="preserve">, </w:t>
      </w:r>
      <w:r w:rsidRPr="004B33B7">
        <w:rPr>
          <w:noProof/>
          <w:sz w:val="22"/>
          <w:lang w:eastAsia="en-GB"/>
        </w:rPr>
        <w:t>ECLI:EU:C:2026:297</w:t>
      </w:r>
      <w:r>
        <w:rPr>
          <w:noProof/>
          <w:sz w:val="22"/>
          <w:lang w:eastAsia="en-GB"/>
        </w:rPr>
        <w:t>.</w:t>
      </w:r>
    </w:p>
    <w:p w14:paraId="6E0DEDA1" w14:textId="77777777" w:rsidR="002F07FB" w:rsidRDefault="002F07FB" w:rsidP="00FC0AF3">
      <w:pPr>
        <w:spacing w:after="120"/>
        <w:rPr>
          <w:noProof/>
          <w:sz w:val="22"/>
        </w:rPr>
      </w:pPr>
      <w:r>
        <w:rPr>
          <w:noProof/>
          <w:sz w:val="22"/>
        </w:rPr>
        <w:t xml:space="preserve">Court of Justice of the European Union, </w:t>
      </w:r>
      <w:r w:rsidRPr="0011505E">
        <w:rPr>
          <w:noProof/>
          <w:sz w:val="22"/>
        </w:rPr>
        <w:t xml:space="preserve">judgment of 18 June 2026, </w:t>
      </w:r>
      <w:r w:rsidRPr="00911162">
        <w:rPr>
          <w:i/>
          <w:iCs/>
          <w:noProof/>
          <w:sz w:val="22"/>
        </w:rPr>
        <w:t>Penny Market</w:t>
      </w:r>
      <w:r w:rsidRPr="0011505E">
        <w:rPr>
          <w:noProof/>
          <w:sz w:val="22"/>
        </w:rPr>
        <w:t>, C-658/24, ECLI:EU:C:2026:495</w:t>
      </w:r>
      <w:r>
        <w:rPr>
          <w:noProof/>
          <w:sz w:val="22"/>
        </w:rPr>
        <w:t>.</w:t>
      </w:r>
    </w:p>
    <w:p w14:paraId="371C05DA" w14:textId="77777777" w:rsidR="00FC0AF3" w:rsidRDefault="00FC0AF3" w:rsidP="00FC0AF3">
      <w:pPr>
        <w:spacing w:after="120"/>
        <w:rPr>
          <w:noProof/>
          <w:sz w:val="22"/>
          <w:lang w:eastAsia="en-GB"/>
        </w:rPr>
      </w:pPr>
      <w:r w:rsidRPr="00EE46BB">
        <w:rPr>
          <w:noProof/>
          <w:sz w:val="22"/>
          <w:lang w:eastAsia="en-GB"/>
        </w:rPr>
        <w:t>Court of Justice of the European Union, judgment of</w:t>
      </w:r>
      <w:r>
        <w:rPr>
          <w:noProof/>
          <w:sz w:val="22"/>
          <w:lang w:eastAsia="en-GB"/>
        </w:rPr>
        <w:t xml:space="preserve"> </w:t>
      </w:r>
      <w:r w:rsidRPr="00425EDD">
        <w:rPr>
          <w:noProof/>
          <w:sz w:val="22"/>
          <w:lang w:eastAsia="en-GB"/>
        </w:rPr>
        <w:t>22 January 2026</w:t>
      </w:r>
      <w:r>
        <w:rPr>
          <w:noProof/>
          <w:sz w:val="22"/>
          <w:lang w:eastAsia="en-GB"/>
        </w:rPr>
        <w:t xml:space="preserve">, </w:t>
      </w:r>
      <w:r w:rsidRPr="00EA34B9">
        <w:rPr>
          <w:i/>
          <w:iCs/>
          <w:noProof/>
          <w:sz w:val="22"/>
          <w:lang w:eastAsia="en-GB"/>
        </w:rPr>
        <w:t>Commission v Hungary (Additional mining fee)</w:t>
      </w:r>
      <w:r>
        <w:rPr>
          <w:noProof/>
          <w:sz w:val="22"/>
          <w:lang w:eastAsia="en-GB"/>
        </w:rPr>
        <w:t xml:space="preserve">, </w:t>
      </w:r>
      <w:r w:rsidRPr="00996D96">
        <w:rPr>
          <w:noProof/>
          <w:sz w:val="22"/>
          <w:lang w:eastAsia="en-GB"/>
        </w:rPr>
        <w:t>C-144/24</w:t>
      </w:r>
      <w:r>
        <w:rPr>
          <w:noProof/>
          <w:sz w:val="22"/>
          <w:lang w:eastAsia="en-GB"/>
        </w:rPr>
        <w:t>, ECLI:</w:t>
      </w:r>
      <w:r w:rsidRPr="00996D96">
        <w:rPr>
          <w:noProof/>
          <w:sz w:val="22"/>
          <w:lang w:eastAsia="en-GB"/>
        </w:rPr>
        <w:t>EU:C:2026:34</w:t>
      </w:r>
      <w:r>
        <w:rPr>
          <w:noProof/>
          <w:sz w:val="22"/>
          <w:lang w:eastAsia="en-GB"/>
        </w:rPr>
        <w:t>.</w:t>
      </w:r>
    </w:p>
    <w:p w14:paraId="491947B9" w14:textId="77777777" w:rsidR="00FC0AF3" w:rsidRPr="00B3501A" w:rsidRDefault="00FC0AF3" w:rsidP="00FC0AF3">
      <w:pPr>
        <w:spacing w:after="120"/>
        <w:rPr>
          <w:noProof/>
          <w:sz w:val="22"/>
          <w:lang w:eastAsia="en-GB"/>
        </w:rPr>
      </w:pPr>
      <w:r w:rsidRPr="00B75BD3">
        <w:rPr>
          <w:noProof/>
          <w:sz w:val="22"/>
        </w:rPr>
        <w:t xml:space="preserve">Court of Justice of the European Union, judgment of 26 February 2026, the CJEU, </w:t>
      </w:r>
      <w:r w:rsidRPr="00B75BD3">
        <w:rPr>
          <w:i/>
          <w:iCs/>
          <w:noProof/>
          <w:sz w:val="22"/>
        </w:rPr>
        <w:t>Commission v Hungary</w:t>
      </w:r>
      <w:r w:rsidRPr="00B75BD3">
        <w:rPr>
          <w:noProof/>
          <w:sz w:val="22"/>
        </w:rPr>
        <w:t xml:space="preserve"> </w:t>
      </w:r>
      <w:r w:rsidRPr="00D671D2">
        <w:rPr>
          <w:i/>
          <w:iCs/>
          <w:noProof/>
          <w:sz w:val="22"/>
        </w:rPr>
        <w:t>(</w:t>
      </w:r>
      <w:r w:rsidRPr="00DF435C">
        <w:rPr>
          <w:i/>
          <w:iCs/>
          <w:noProof/>
          <w:sz w:val="22"/>
        </w:rPr>
        <w:t>Right to provide media services on a radio frequency</w:t>
      </w:r>
      <w:r w:rsidRPr="00D671D2">
        <w:rPr>
          <w:i/>
          <w:iCs/>
          <w:noProof/>
          <w:sz w:val="22"/>
        </w:rPr>
        <w:t>)</w:t>
      </w:r>
      <w:r w:rsidRPr="00B75BD3">
        <w:rPr>
          <w:noProof/>
          <w:sz w:val="22"/>
        </w:rPr>
        <w:t>, C-92/93, ECLI: EU:C:2026:108.</w:t>
      </w:r>
    </w:p>
    <w:p w14:paraId="783D7A00" w14:textId="1773F892" w:rsidR="002F07FB" w:rsidRPr="00212F12" w:rsidRDefault="002F07FB" w:rsidP="0097617C">
      <w:pPr>
        <w:tabs>
          <w:tab w:val="center" w:pos="4513"/>
        </w:tabs>
        <w:spacing w:after="120"/>
        <w:rPr>
          <w:noProof/>
          <w:sz w:val="22"/>
          <w:lang w:eastAsia="en-GB"/>
        </w:rPr>
      </w:pPr>
      <w:r w:rsidRPr="00AE53BB">
        <w:rPr>
          <w:noProof/>
          <w:sz w:val="22"/>
          <w:szCs w:val="22"/>
          <w:lang w:eastAsia="en-GB"/>
        </w:rPr>
        <w:t xml:space="preserve">EDMO (2026), </w:t>
      </w:r>
      <w:r w:rsidRPr="00AE53BB">
        <w:rPr>
          <w:i/>
          <w:iCs/>
          <w:noProof/>
          <w:sz w:val="22"/>
          <w:szCs w:val="22"/>
          <w:lang w:eastAsia="en-GB"/>
        </w:rPr>
        <w:t>Unstoppable political ads, anti-Ukrainian narratives, and misleading stats in the Hungarian election campaign</w:t>
      </w:r>
      <w:r w:rsidRPr="00AE53BB">
        <w:rPr>
          <w:noProof/>
          <w:sz w:val="22"/>
          <w:szCs w:val="22"/>
          <w:lang w:eastAsia="en-GB"/>
        </w:rPr>
        <w:t xml:space="preserve">, </w:t>
      </w:r>
      <w:hyperlink r:id="rId34" w:history="1">
        <w:r w:rsidR="00AE53BB" w:rsidRPr="00AE53BB">
          <w:rPr>
            <w:rStyle w:val="Hyperlink"/>
            <w:noProof/>
            <w:sz w:val="22"/>
            <w:szCs w:val="22"/>
          </w:rPr>
          <w:t>https://edmo.eu/publications/unstoppable-political-ads-anti-ukrainian-narratives-and-misleading-stats-in-the-hungarian-election-campaign/</w:t>
        </w:r>
      </w:hyperlink>
      <w:r>
        <w:rPr>
          <w:noProof/>
          <w:sz w:val="22"/>
          <w:lang w:eastAsia="en-GB"/>
        </w:rPr>
        <w:t>.</w:t>
      </w:r>
      <w:r w:rsidRPr="00212F12">
        <w:rPr>
          <w:noProof/>
          <w:sz w:val="22"/>
          <w:lang w:eastAsia="en-GB"/>
        </w:rPr>
        <w:t xml:space="preserve"> </w:t>
      </w:r>
    </w:p>
    <w:p w14:paraId="697E3E6B" w14:textId="3B07A10F" w:rsidR="002F07FB" w:rsidRDefault="002F07FB" w:rsidP="00FC0AF3">
      <w:pPr>
        <w:spacing w:after="120"/>
        <w:rPr>
          <w:noProof/>
          <w:sz w:val="22"/>
          <w:lang w:eastAsia="en-GB"/>
        </w:rPr>
      </w:pPr>
      <w:r>
        <w:rPr>
          <w:noProof/>
          <w:sz w:val="22"/>
          <w:lang w:eastAsia="en-GB"/>
        </w:rPr>
        <w:t>European Court of Human Rights</w:t>
      </w:r>
      <w:r w:rsidRPr="00ED0951">
        <w:rPr>
          <w:noProof/>
          <w:sz w:val="22"/>
          <w:lang w:eastAsia="en-GB"/>
        </w:rPr>
        <w:t xml:space="preserve">, </w:t>
      </w:r>
      <w:r>
        <w:rPr>
          <w:noProof/>
          <w:sz w:val="22"/>
          <w:lang w:eastAsia="en-GB"/>
        </w:rPr>
        <w:t xml:space="preserve">judgment of </w:t>
      </w:r>
      <w:r w:rsidR="00B63E29">
        <w:rPr>
          <w:noProof/>
          <w:sz w:val="22"/>
          <w:lang w:eastAsia="en-GB"/>
        </w:rPr>
        <w:t>7 October 20</w:t>
      </w:r>
      <w:r w:rsidR="006C4867">
        <w:rPr>
          <w:noProof/>
          <w:sz w:val="22"/>
          <w:lang w:eastAsia="en-GB"/>
        </w:rPr>
        <w:t>0</w:t>
      </w:r>
      <w:r w:rsidR="00B63E29">
        <w:rPr>
          <w:noProof/>
          <w:sz w:val="22"/>
          <w:lang w:eastAsia="en-GB"/>
        </w:rPr>
        <w:t>8</w:t>
      </w:r>
      <w:r w:rsidR="006C4867">
        <w:rPr>
          <w:noProof/>
          <w:sz w:val="22"/>
          <w:lang w:eastAsia="en-GB"/>
        </w:rPr>
        <w:t>,</w:t>
      </w:r>
      <w:r w:rsidR="00B63E29">
        <w:rPr>
          <w:noProof/>
          <w:sz w:val="22"/>
          <w:lang w:eastAsia="en-GB"/>
        </w:rPr>
        <w:t xml:space="preserve"> </w:t>
      </w:r>
      <w:r w:rsidRPr="00ED0951">
        <w:rPr>
          <w:noProof/>
          <w:sz w:val="22"/>
          <w:lang w:eastAsia="en-GB"/>
        </w:rPr>
        <w:t>Patyi and Others v Hungary</w:t>
      </w:r>
      <w:r>
        <w:rPr>
          <w:noProof/>
          <w:sz w:val="22"/>
          <w:lang w:eastAsia="en-GB"/>
        </w:rPr>
        <w:t xml:space="preserve">, </w:t>
      </w:r>
      <w:r w:rsidRPr="00ED0951">
        <w:rPr>
          <w:noProof/>
          <w:sz w:val="22"/>
          <w:lang w:eastAsia="en-GB"/>
        </w:rPr>
        <w:t>5529/05</w:t>
      </w:r>
      <w:r>
        <w:rPr>
          <w:noProof/>
          <w:sz w:val="22"/>
          <w:lang w:eastAsia="en-GB"/>
        </w:rPr>
        <w:t>.</w:t>
      </w:r>
    </w:p>
    <w:p w14:paraId="1F5EFED5" w14:textId="77777777" w:rsidR="00FC0AF3" w:rsidRDefault="00FC0AF3" w:rsidP="00FC0AF3">
      <w:pPr>
        <w:spacing w:after="120"/>
        <w:rPr>
          <w:noProof/>
          <w:sz w:val="22"/>
          <w:lang w:eastAsia="en-GB"/>
        </w:rPr>
      </w:pPr>
      <w:r w:rsidRPr="005F2162">
        <w:rPr>
          <w:noProof/>
          <w:sz w:val="22"/>
          <w:lang w:eastAsia="en-GB"/>
        </w:rPr>
        <w:t xml:space="preserve">European Court of Human Rights, judgment of 12 January 2016, </w:t>
      </w:r>
      <w:r w:rsidRPr="00D671D2">
        <w:rPr>
          <w:i/>
          <w:iCs/>
          <w:noProof/>
          <w:sz w:val="22"/>
          <w:lang w:eastAsia="en-GB"/>
        </w:rPr>
        <w:t>Szabó and Vissy v Hungary</w:t>
      </w:r>
      <w:r>
        <w:rPr>
          <w:noProof/>
          <w:sz w:val="22"/>
          <w:lang w:eastAsia="en-GB"/>
        </w:rPr>
        <w:t xml:space="preserve">, </w:t>
      </w:r>
      <w:r w:rsidRPr="005F2162">
        <w:rPr>
          <w:noProof/>
          <w:sz w:val="22"/>
          <w:lang w:eastAsia="en-GB"/>
        </w:rPr>
        <w:t xml:space="preserve">37138/14. </w:t>
      </w:r>
    </w:p>
    <w:p w14:paraId="1A6304C7" w14:textId="77777777" w:rsidR="00FC0AF3" w:rsidRDefault="00FC0AF3" w:rsidP="00FC0AF3">
      <w:pPr>
        <w:spacing w:after="120"/>
        <w:rPr>
          <w:noProof/>
          <w:sz w:val="22"/>
          <w:lang w:eastAsia="en-GB"/>
        </w:rPr>
      </w:pPr>
      <w:r w:rsidRPr="005F2162">
        <w:rPr>
          <w:noProof/>
          <w:sz w:val="22"/>
          <w:lang w:eastAsia="en-GB"/>
        </w:rPr>
        <w:t xml:space="preserve">European Court of Human Rights, judgment of 16 July 2015, </w:t>
      </w:r>
      <w:r w:rsidRPr="00EA34B9">
        <w:rPr>
          <w:i/>
          <w:iCs/>
          <w:noProof/>
          <w:sz w:val="22"/>
          <w:lang w:eastAsia="en-GB"/>
        </w:rPr>
        <w:t>Gazsó v Hungary</w:t>
      </w:r>
      <w:r>
        <w:rPr>
          <w:noProof/>
          <w:sz w:val="22"/>
          <w:lang w:eastAsia="en-GB"/>
        </w:rPr>
        <w:t xml:space="preserve">, </w:t>
      </w:r>
      <w:r w:rsidRPr="005F2162">
        <w:rPr>
          <w:noProof/>
          <w:sz w:val="22"/>
          <w:lang w:eastAsia="en-GB"/>
        </w:rPr>
        <w:t xml:space="preserve">48322/12. </w:t>
      </w:r>
    </w:p>
    <w:p w14:paraId="63BB0023" w14:textId="5E3BB49E" w:rsidR="00FC0AF3" w:rsidRDefault="00FC0AF3" w:rsidP="00FC0AF3">
      <w:pPr>
        <w:spacing w:after="120"/>
        <w:rPr>
          <w:noProof/>
          <w:sz w:val="22"/>
          <w:lang w:eastAsia="en-GB"/>
        </w:rPr>
      </w:pPr>
      <w:r w:rsidRPr="005F2162">
        <w:rPr>
          <w:noProof/>
          <w:sz w:val="22"/>
          <w:lang w:eastAsia="en-GB"/>
        </w:rPr>
        <w:t xml:space="preserve">European Court of Human Rights, judgment of </w:t>
      </w:r>
      <w:r w:rsidR="002F07FB" w:rsidRPr="005F2162">
        <w:rPr>
          <w:noProof/>
          <w:sz w:val="22"/>
          <w:lang w:eastAsia="en-GB"/>
        </w:rPr>
        <w:t xml:space="preserve">23 June 2016, </w:t>
      </w:r>
      <w:r w:rsidR="002F07FB" w:rsidRPr="00EA34B9">
        <w:rPr>
          <w:i/>
          <w:iCs/>
          <w:noProof/>
          <w:sz w:val="22"/>
          <w:lang w:eastAsia="en-GB"/>
        </w:rPr>
        <w:t>Baka</w:t>
      </w:r>
      <w:r w:rsidRPr="00EA34B9">
        <w:rPr>
          <w:i/>
          <w:iCs/>
          <w:noProof/>
          <w:sz w:val="22"/>
          <w:lang w:eastAsia="en-GB"/>
        </w:rPr>
        <w:t xml:space="preserve"> v Hungary</w:t>
      </w:r>
      <w:r>
        <w:rPr>
          <w:noProof/>
          <w:sz w:val="22"/>
          <w:lang w:eastAsia="en-GB"/>
        </w:rPr>
        <w:t xml:space="preserve">, </w:t>
      </w:r>
      <w:r w:rsidR="002F07FB" w:rsidRPr="005F2162">
        <w:rPr>
          <w:noProof/>
          <w:sz w:val="22"/>
          <w:lang w:eastAsia="en-GB"/>
        </w:rPr>
        <w:t>20261/12.</w:t>
      </w:r>
      <w:r w:rsidRPr="005F2162">
        <w:rPr>
          <w:noProof/>
          <w:sz w:val="22"/>
          <w:lang w:eastAsia="en-GB"/>
        </w:rPr>
        <w:t xml:space="preserve"> </w:t>
      </w:r>
    </w:p>
    <w:p w14:paraId="01768DF1" w14:textId="77777777" w:rsidR="002F07FB" w:rsidRDefault="002F07FB" w:rsidP="00FC0AF3">
      <w:pPr>
        <w:spacing w:after="120"/>
        <w:rPr>
          <w:noProof/>
          <w:sz w:val="22"/>
          <w:lang w:eastAsia="en-GB"/>
        </w:rPr>
      </w:pPr>
      <w:r w:rsidRPr="005F2162">
        <w:rPr>
          <w:noProof/>
          <w:sz w:val="22"/>
          <w:lang w:eastAsia="en-GB"/>
        </w:rPr>
        <w:t xml:space="preserve">European Court of Human Rights, judgment of 26 May 2009, </w:t>
      </w:r>
      <w:r w:rsidRPr="00EA34B9">
        <w:rPr>
          <w:i/>
          <w:iCs/>
          <w:noProof/>
          <w:sz w:val="22"/>
          <w:lang w:eastAsia="en-GB"/>
        </w:rPr>
        <w:t>Kenedi v Hungary</w:t>
      </w:r>
      <w:r>
        <w:rPr>
          <w:noProof/>
          <w:sz w:val="22"/>
          <w:lang w:eastAsia="en-GB"/>
        </w:rPr>
        <w:t xml:space="preserve">, </w:t>
      </w:r>
      <w:r w:rsidRPr="005F2162">
        <w:rPr>
          <w:noProof/>
          <w:sz w:val="22"/>
          <w:lang w:eastAsia="en-GB"/>
        </w:rPr>
        <w:t xml:space="preserve">31475/05.  </w:t>
      </w:r>
    </w:p>
    <w:p w14:paraId="3C301737" w14:textId="77777777" w:rsidR="002F07FB" w:rsidRDefault="002F07FB" w:rsidP="00FC0AF3">
      <w:pPr>
        <w:spacing w:after="120"/>
        <w:rPr>
          <w:noProof/>
          <w:sz w:val="22"/>
          <w:lang w:eastAsia="en-GB"/>
        </w:rPr>
      </w:pPr>
      <w:r w:rsidRPr="005F2162">
        <w:rPr>
          <w:noProof/>
          <w:sz w:val="22"/>
          <w:lang w:eastAsia="en-GB"/>
        </w:rPr>
        <w:t xml:space="preserve">European Court of Human Rights, judgment of 28 November 2024, </w:t>
      </w:r>
      <w:r w:rsidRPr="00EA34B9">
        <w:rPr>
          <w:i/>
          <w:iCs/>
          <w:noProof/>
          <w:sz w:val="22"/>
          <w:lang w:eastAsia="en-GB"/>
        </w:rPr>
        <w:t>Klaudia Csikós v Hungary</w:t>
      </w:r>
      <w:r>
        <w:rPr>
          <w:noProof/>
          <w:sz w:val="22"/>
          <w:lang w:eastAsia="en-GB"/>
        </w:rPr>
        <w:t xml:space="preserve">, </w:t>
      </w:r>
      <w:r w:rsidRPr="005F2162">
        <w:rPr>
          <w:noProof/>
          <w:sz w:val="22"/>
          <w:lang w:eastAsia="en-GB"/>
        </w:rPr>
        <w:t xml:space="preserve">31091/16. </w:t>
      </w:r>
    </w:p>
    <w:p w14:paraId="1BF76975" w14:textId="77777777" w:rsidR="002F07FB" w:rsidRDefault="002F07FB" w:rsidP="00FC0AF3">
      <w:pPr>
        <w:spacing w:after="120"/>
        <w:rPr>
          <w:noProof/>
          <w:sz w:val="22"/>
          <w:lang w:eastAsia="en-GB"/>
        </w:rPr>
      </w:pPr>
      <w:r w:rsidRPr="005F2162">
        <w:rPr>
          <w:noProof/>
          <w:sz w:val="22"/>
          <w:lang w:eastAsia="en-GB"/>
        </w:rPr>
        <w:t xml:space="preserve">European Court of Human Rights, judgment of 29 September 2022, </w:t>
      </w:r>
      <w:r w:rsidRPr="00EA34B9">
        <w:rPr>
          <w:i/>
          <w:iCs/>
          <w:noProof/>
          <w:sz w:val="22"/>
          <w:lang w:eastAsia="en-GB"/>
        </w:rPr>
        <w:t>Hüttl v Hungary</w:t>
      </w:r>
      <w:r>
        <w:rPr>
          <w:noProof/>
          <w:sz w:val="22"/>
          <w:lang w:eastAsia="en-GB"/>
        </w:rPr>
        <w:t xml:space="preserve">, </w:t>
      </w:r>
      <w:r w:rsidRPr="005F2162">
        <w:rPr>
          <w:noProof/>
          <w:sz w:val="22"/>
          <w:lang w:eastAsia="en-GB"/>
        </w:rPr>
        <w:t xml:space="preserve">58032/16. </w:t>
      </w:r>
    </w:p>
    <w:p w14:paraId="7D956F96" w14:textId="77777777" w:rsidR="002F07FB" w:rsidRDefault="002F07FB" w:rsidP="00FC0AF3">
      <w:pPr>
        <w:spacing w:after="120"/>
        <w:rPr>
          <w:noProof/>
          <w:sz w:val="22"/>
          <w:lang w:eastAsia="en-GB"/>
        </w:rPr>
      </w:pPr>
      <w:r w:rsidRPr="00105747">
        <w:rPr>
          <w:noProof/>
          <w:sz w:val="22"/>
          <w:lang w:eastAsia="en-GB"/>
        </w:rPr>
        <w:t>European Court of Human Rights, judgment of</w:t>
      </w:r>
      <w:r>
        <w:rPr>
          <w:noProof/>
          <w:sz w:val="22"/>
          <w:lang w:eastAsia="en-GB"/>
        </w:rPr>
        <w:t xml:space="preserve"> 3 February 2026, </w:t>
      </w:r>
      <w:r w:rsidRPr="000C6646">
        <w:rPr>
          <w:i/>
          <w:iCs/>
          <w:noProof/>
          <w:sz w:val="22"/>
          <w:lang w:eastAsia="en-GB"/>
        </w:rPr>
        <w:t>Szelényi and Others v Hungary</w:t>
      </w:r>
      <w:r>
        <w:rPr>
          <w:noProof/>
          <w:sz w:val="22"/>
          <w:lang w:eastAsia="en-GB"/>
        </w:rPr>
        <w:t xml:space="preserve">, </w:t>
      </w:r>
      <w:r w:rsidRPr="006E3299">
        <w:rPr>
          <w:noProof/>
          <w:sz w:val="22"/>
          <w:lang w:eastAsia="en-GB"/>
        </w:rPr>
        <w:t>15147/23 and 38303/23</w:t>
      </w:r>
      <w:r>
        <w:rPr>
          <w:noProof/>
          <w:sz w:val="22"/>
          <w:lang w:eastAsia="en-GB"/>
        </w:rPr>
        <w:t>.</w:t>
      </w:r>
    </w:p>
    <w:p w14:paraId="68E6D5A2" w14:textId="77777777" w:rsidR="002F07FB" w:rsidRDefault="002F07FB" w:rsidP="00FC0AF3">
      <w:pPr>
        <w:spacing w:after="120"/>
        <w:rPr>
          <w:noProof/>
          <w:sz w:val="22"/>
          <w:lang w:eastAsia="en-GB"/>
        </w:rPr>
      </w:pPr>
      <w:r w:rsidRPr="00105747">
        <w:rPr>
          <w:noProof/>
          <w:sz w:val="22"/>
          <w:lang w:eastAsia="en-GB"/>
        </w:rPr>
        <w:t>European Court of Human Rights, judgment of</w:t>
      </w:r>
      <w:r>
        <w:rPr>
          <w:noProof/>
          <w:sz w:val="22"/>
          <w:lang w:eastAsia="en-GB"/>
        </w:rPr>
        <w:t xml:space="preserve"> </w:t>
      </w:r>
      <w:r w:rsidRPr="004F5E6A">
        <w:rPr>
          <w:noProof/>
          <w:sz w:val="22"/>
          <w:lang w:eastAsia="en-GB"/>
        </w:rPr>
        <w:t>30 March 2023</w:t>
      </w:r>
      <w:r>
        <w:rPr>
          <w:noProof/>
          <w:sz w:val="22"/>
          <w:lang w:eastAsia="en-GB"/>
        </w:rPr>
        <w:t xml:space="preserve">, </w:t>
      </w:r>
      <w:r w:rsidRPr="00EA34B9">
        <w:rPr>
          <w:i/>
          <w:iCs/>
          <w:noProof/>
          <w:sz w:val="22"/>
          <w:lang w:eastAsia="en-GB"/>
        </w:rPr>
        <w:t>Szaxon v Hungary</w:t>
      </w:r>
      <w:r>
        <w:rPr>
          <w:noProof/>
          <w:sz w:val="22"/>
          <w:lang w:eastAsia="en-GB"/>
        </w:rPr>
        <w:t xml:space="preserve">, </w:t>
      </w:r>
      <w:r w:rsidRPr="00913162">
        <w:rPr>
          <w:noProof/>
          <w:sz w:val="22"/>
          <w:lang w:eastAsia="en-GB"/>
        </w:rPr>
        <w:t>54421/21</w:t>
      </w:r>
      <w:r>
        <w:rPr>
          <w:noProof/>
          <w:sz w:val="22"/>
          <w:lang w:eastAsia="en-GB"/>
        </w:rPr>
        <w:t>.</w:t>
      </w:r>
    </w:p>
    <w:p w14:paraId="7E654241" w14:textId="77777777" w:rsidR="00FC0AF3" w:rsidRDefault="00FC0AF3" w:rsidP="00FC0AF3">
      <w:pPr>
        <w:spacing w:after="120"/>
        <w:rPr>
          <w:noProof/>
          <w:sz w:val="22"/>
          <w:lang w:eastAsia="en-GB"/>
        </w:rPr>
      </w:pPr>
      <w:r>
        <w:rPr>
          <w:noProof/>
          <w:sz w:val="22"/>
          <w:lang w:eastAsia="en-GB"/>
        </w:rPr>
        <w:t xml:space="preserve">European Network of Councils for the Judiciary (2026), </w:t>
      </w:r>
      <w:r w:rsidRPr="006536D8">
        <w:rPr>
          <w:i/>
          <w:iCs/>
          <w:noProof/>
          <w:sz w:val="22"/>
          <w:lang w:eastAsia="en-GB"/>
        </w:rPr>
        <w:t>Contribution for the 2026 Rule of Law Report</w:t>
      </w:r>
      <w:r w:rsidRPr="006536D8">
        <w:rPr>
          <w:noProof/>
          <w:sz w:val="22"/>
          <w:lang w:eastAsia="en-GB"/>
        </w:rPr>
        <w:t>.</w:t>
      </w:r>
    </w:p>
    <w:p w14:paraId="33E12FEA" w14:textId="50D789D1" w:rsidR="002F07FB" w:rsidRPr="00F22C28" w:rsidRDefault="002F07FB" w:rsidP="00CC2522">
      <w:pPr>
        <w:tabs>
          <w:tab w:val="center" w:pos="4513"/>
        </w:tabs>
        <w:spacing w:after="120"/>
        <w:rPr>
          <w:noProof/>
          <w:sz w:val="22"/>
          <w:lang w:eastAsia="en-GB"/>
        </w:rPr>
      </w:pPr>
      <w:r w:rsidRPr="00F22C28">
        <w:rPr>
          <w:noProof/>
          <w:sz w:val="22"/>
          <w:lang w:eastAsia="en-GB"/>
        </w:rPr>
        <w:t>GRECO (2019), Third Evaluation Round – Second Addendum to the Second Compliance Report</w:t>
      </w:r>
      <w:r>
        <w:rPr>
          <w:noProof/>
          <w:sz w:val="22"/>
          <w:lang w:eastAsia="en-GB"/>
        </w:rPr>
        <w:t xml:space="preserve"> </w:t>
      </w:r>
      <w:r w:rsidRPr="00F22C28">
        <w:rPr>
          <w:noProof/>
          <w:sz w:val="22"/>
          <w:lang w:eastAsia="en-GB"/>
        </w:rPr>
        <w:t>on Hungary on incriminations and transparency of party funding,</w:t>
      </w:r>
      <w:r>
        <w:rPr>
          <w:noProof/>
          <w:sz w:val="22"/>
          <w:lang w:eastAsia="en-GB"/>
        </w:rPr>
        <w:t xml:space="preserve"> </w:t>
      </w:r>
      <w:hyperlink r:id="rId35" w:history="1">
        <w:r w:rsidR="00911162" w:rsidRPr="0071102F">
          <w:rPr>
            <w:rStyle w:val="Hyperlink"/>
            <w:noProof/>
            <w:sz w:val="22"/>
            <w:lang w:eastAsia="en-GB"/>
          </w:rPr>
          <w:t>https://rm.coe.int/third-evaluation-round-second-addendum-to-the-second-compliancereport/168096947e</w:t>
        </w:r>
      </w:hyperlink>
      <w:r w:rsidRPr="00F22C28">
        <w:rPr>
          <w:noProof/>
          <w:sz w:val="22"/>
          <w:lang w:eastAsia="en-GB"/>
        </w:rPr>
        <w:t>.</w:t>
      </w:r>
    </w:p>
    <w:p w14:paraId="60F7EF75" w14:textId="30553B7A" w:rsidR="002F07FB" w:rsidRPr="00F22C28" w:rsidRDefault="002F07FB" w:rsidP="00CC2522">
      <w:pPr>
        <w:tabs>
          <w:tab w:val="center" w:pos="4513"/>
        </w:tabs>
        <w:spacing w:after="120"/>
        <w:rPr>
          <w:noProof/>
          <w:sz w:val="22"/>
          <w:lang w:eastAsia="en-GB"/>
        </w:rPr>
      </w:pPr>
      <w:r w:rsidRPr="00F22C28">
        <w:rPr>
          <w:noProof/>
          <w:sz w:val="22"/>
          <w:lang w:eastAsia="en-GB"/>
        </w:rPr>
        <w:t>GRECO (2022), Fourth Evaluation Round – Third Interim Compliance Report</w:t>
      </w:r>
      <w:r>
        <w:rPr>
          <w:noProof/>
          <w:sz w:val="22"/>
          <w:lang w:eastAsia="en-GB"/>
        </w:rPr>
        <w:t>,</w:t>
      </w:r>
      <w:r w:rsidRPr="00F22C28">
        <w:rPr>
          <w:noProof/>
          <w:sz w:val="22"/>
          <w:lang w:eastAsia="en-GB"/>
        </w:rPr>
        <w:t xml:space="preserve"> </w:t>
      </w:r>
      <w:hyperlink r:id="rId36" w:history="1">
        <w:r w:rsidR="00911162" w:rsidRPr="0071102F">
          <w:rPr>
            <w:rStyle w:val="Hyperlink"/>
            <w:noProof/>
            <w:sz w:val="22"/>
            <w:lang w:eastAsia="en-GB"/>
          </w:rPr>
          <w:t>https://rm.coe.int/fourth-evaluation-round-corruption-prevention-in-respect-of-membersof/1680a7f171</w:t>
        </w:r>
      </w:hyperlink>
      <w:r w:rsidRPr="00F22C28">
        <w:rPr>
          <w:noProof/>
          <w:sz w:val="22"/>
          <w:lang w:eastAsia="en-GB"/>
        </w:rPr>
        <w:t>.</w:t>
      </w:r>
    </w:p>
    <w:p w14:paraId="22AA5856" w14:textId="069F8245" w:rsidR="002F07FB" w:rsidRPr="00F22C28" w:rsidRDefault="002F07FB" w:rsidP="00CC2522">
      <w:pPr>
        <w:tabs>
          <w:tab w:val="center" w:pos="4513"/>
        </w:tabs>
        <w:spacing w:after="120"/>
        <w:rPr>
          <w:noProof/>
          <w:sz w:val="22"/>
          <w:lang w:eastAsia="en-GB"/>
        </w:rPr>
      </w:pPr>
      <w:r w:rsidRPr="00F22C28">
        <w:rPr>
          <w:noProof/>
          <w:sz w:val="22"/>
          <w:lang w:eastAsia="en-GB"/>
        </w:rPr>
        <w:t>GRECO (2023a), Fifth Evaluation Round – Evaluation Report on Hungary on preventing</w:t>
      </w:r>
      <w:r>
        <w:rPr>
          <w:noProof/>
          <w:sz w:val="22"/>
          <w:lang w:eastAsia="en-GB"/>
        </w:rPr>
        <w:t xml:space="preserve"> </w:t>
      </w:r>
      <w:r w:rsidRPr="00F22C28">
        <w:rPr>
          <w:noProof/>
          <w:sz w:val="22"/>
          <w:lang w:eastAsia="en-GB"/>
        </w:rPr>
        <w:t>corruption and promoting integrity in central governments (top executive functions) and law</w:t>
      </w:r>
      <w:r>
        <w:rPr>
          <w:noProof/>
          <w:sz w:val="22"/>
          <w:lang w:eastAsia="en-GB"/>
        </w:rPr>
        <w:t xml:space="preserve"> </w:t>
      </w:r>
      <w:r w:rsidRPr="00F22C28">
        <w:rPr>
          <w:noProof/>
          <w:sz w:val="22"/>
          <w:lang w:eastAsia="en-GB"/>
        </w:rPr>
        <w:t xml:space="preserve">enforcement agencies, </w:t>
      </w:r>
      <w:hyperlink r:id="rId37" w:history="1">
        <w:r w:rsidR="00911162" w:rsidRPr="0071102F">
          <w:rPr>
            <w:rStyle w:val="Hyperlink"/>
            <w:noProof/>
            <w:sz w:val="22"/>
            <w:lang w:eastAsia="en-GB"/>
          </w:rPr>
          <w:t>https://rm.coe.int/fifth-evaluation-round-preventingcorruption-and-promoting-integrity-i/1680ab87f5</w:t>
        </w:r>
      </w:hyperlink>
      <w:r w:rsidRPr="00F22C28">
        <w:rPr>
          <w:noProof/>
          <w:sz w:val="22"/>
          <w:lang w:eastAsia="en-GB"/>
        </w:rPr>
        <w:t>.</w:t>
      </w:r>
    </w:p>
    <w:p w14:paraId="7C0BA63E" w14:textId="4796FE1D" w:rsidR="002F07FB" w:rsidRDefault="002F07FB" w:rsidP="00CC2522">
      <w:pPr>
        <w:tabs>
          <w:tab w:val="center" w:pos="4513"/>
        </w:tabs>
        <w:spacing w:after="120"/>
        <w:rPr>
          <w:noProof/>
          <w:sz w:val="22"/>
          <w:lang w:eastAsia="en-GB"/>
        </w:rPr>
      </w:pPr>
      <w:r w:rsidRPr="00F22C28">
        <w:rPr>
          <w:noProof/>
          <w:sz w:val="22"/>
          <w:lang w:eastAsia="en-GB"/>
        </w:rPr>
        <w:t>GRECO (2023b), Fourth Evaluation Round – Fourth Interim Compliance Report on Hungary on</w:t>
      </w:r>
      <w:r>
        <w:rPr>
          <w:noProof/>
          <w:sz w:val="22"/>
          <w:lang w:eastAsia="en-GB"/>
        </w:rPr>
        <w:t xml:space="preserve"> </w:t>
      </w:r>
      <w:r w:rsidRPr="00F22C28">
        <w:rPr>
          <w:noProof/>
          <w:sz w:val="22"/>
          <w:lang w:eastAsia="en-GB"/>
        </w:rPr>
        <w:t xml:space="preserve">corruption prevention in respect of members of parliament, judges and prosecutors, </w:t>
      </w:r>
      <w:hyperlink r:id="rId38" w:history="1">
        <w:r w:rsidR="00911162" w:rsidRPr="0071102F">
          <w:rPr>
            <w:rStyle w:val="Hyperlink"/>
            <w:noProof/>
            <w:sz w:val="22"/>
            <w:lang w:eastAsia="en-GB"/>
          </w:rPr>
          <w:t>https://rm.coe.int/fourth-evaluation-round-corruption-prevention-in-respect-of-membersof/1680ab87f1</w:t>
        </w:r>
      </w:hyperlink>
      <w:r w:rsidRPr="00F22C28">
        <w:rPr>
          <w:noProof/>
          <w:sz w:val="22"/>
          <w:lang w:eastAsia="en-GB"/>
        </w:rPr>
        <w:t>.</w:t>
      </w:r>
    </w:p>
    <w:p w14:paraId="0DABA5B0" w14:textId="77777777" w:rsidR="00FC0AF3" w:rsidRPr="006536D8" w:rsidRDefault="00FC0AF3" w:rsidP="00FC0AF3">
      <w:pPr>
        <w:spacing w:after="120"/>
        <w:rPr>
          <w:noProof/>
          <w:sz w:val="22"/>
          <w:lang w:eastAsia="en-GB"/>
        </w:rPr>
      </w:pPr>
      <w:r w:rsidRPr="006536D8">
        <w:rPr>
          <w:noProof/>
          <w:sz w:val="22"/>
          <w:lang w:eastAsia="en-GB"/>
        </w:rPr>
        <w:t xml:space="preserve">Háttér Society (2026), </w:t>
      </w:r>
      <w:r w:rsidRPr="006536D8">
        <w:rPr>
          <w:i/>
          <w:iCs/>
          <w:noProof/>
          <w:sz w:val="22"/>
          <w:lang w:eastAsia="en-GB"/>
        </w:rPr>
        <w:t>Contribution for the 2026 Rule of Law Report</w:t>
      </w:r>
      <w:r w:rsidRPr="006536D8">
        <w:rPr>
          <w:noProof/>
          <w:sz w:val="22"/>
          <w:lang w:eastAsia="en-GB"/>
        </w:rPr>
        <w:t>.</w:t>
      </w:r>
    </w:p>
    <w:p w14:paraId="0CFFFDF9" w14:textId="77777777" w:rsidR="00FC0AF3" w:rsidRDefault="00FC0AF3" w:rsidP="00FC0AF3">
      <w:pPr>
        <w:spacing w:after="120"/>
        <w:rPr>
          <w:noProof/>
          <w:sz w:val="22"/>
          <w:lang w:eastAsia="en-GB"/>
        </w:rPr>
      </w:pPr>
      <w:r>
        <w:rPr>
          <w:noProof/>
          <w:sz w:val="22"/>
          <w:lang w:eastAsia="en-GB"/>
        </w:rPr>
        <w:t xml:space="preserve">Hungarian Association of Judges (MABIE) (2026), </w:t>
      </w:r>
      <w:r w:rsidRPr="006536D8">
        <w:rPr>
          <w:i/>
          <w:iCs/>
          <w:noProof/>
          <w:sz w:val="22"/>
          <w:lang w:eastAsia="en-GB"/>
        </w:rPr>
        <w:t>Contribution for the 2026 Rule of Law Report</w:t>
      </w:r>
      <w:r w:rsidRPr="006536D8">
        <w:rPr>
          <w:noProof/>
          <w:sz w:val="22"/>
          <w:lang w:eastAsia="en-GB"/>
        </w:rPr>
        <w:t>.</w:t>
      </w:r>
    </w:p>
    <w:p w14:paraId="53BEF34D" w14:textId="77777777" w:rsidR="00FC0AF3" w:rsidRPr="006536D8" w:rsidRDefault="00FC0AF3" w:rsidP="00FC0AF3">
      <w:pPr>
        <w:spacing w:after="120"/>
        <w:rPr>
          <w:noProof/>
          <w:sz w:val="22"/>
          <w:lang w:eastAsia="en-GB"/>
        </w:rPr>
      </w:pPr>
      <w:r w:rsidRPr="006536D8">
        <w:rPr>
          <w:noProof/>
          <w:sz w:val="22"/>
          <w:lang w:eastAsia="en-GB"/>
        </w:rPr>
        <w:t xml:space="preserve">Hungarian Civil Liberties Union (2026), </w:t>
      </w:r>
      <w:r w:rsidRPr="006536D8">
        <w:rPr>
          <w:i/>
          <w:iCs/>
          <w:noProof/>
          <w:sz w:val="22"/>
          <w:lang w:eastAsia="en-GB"/>
        </w:rPr>
        <w:t>Contribution for the 2026 Rule of Law Report</w:t>
      </w:r>
      <w:r w:rsidRPr="006536D8">
        <w:rPr>
          <w:noProof/>
          <w:sz w:val="22"/>
          <w:lang w:eastAsia="en-GB"/>
        </w:rPr>
        <w:t>.</w:t>
      </w:r>
    </w:p>
    <w:p w14:paraId="5F88B380" w14:textId="7F1A6724" w:rsidR="00FC0AF3" w:rsidRDefault="00FC0AF3" w:rsidP="00FC0AF3">
      <w:pPr>
        <w:spacing w:after="120"/>
        <w:rPr>
          <w:noProof/>
          <w:sz w:val="22"/>
          <w:lang w:eastAsia="en-GB"/>
        </w:rPr>
      </w:pPr>
      <w:r w:rsidRPr="009C64AE">
        <w:rPr>
          <w:noProof/>
          <w:sz w:val="22"/>
          <w:lang w:eastAsia="en-GB"/>
        </w:rPr>
        <w:t>Hungarian Competition Authority</w:t>
      </w:r>
      <w:r>
        <w:rPr>
          <w:noProof/>
          <w:sz w:val="22"/>
          <w:lang w:eastAsia="en-GB"/>
        </w:rPr>
        <w:t xml:space="preserve"> (2025),</w:t>
      </w:r>
      <w:r w:rsidRPr="009C64AE">
        <w:rPr>
          <w:noProof/>
          <w:sz w:val="22"/>
          <w:lang w:eastAsia="en-GB"/>
        </w:rPr>
        <w:t xml:space="preserve"> </w:t>
      </w:r>
      <w:r w:rsidRPr="00434A26">
        <w:rPr>
          <w:i/>
          <w:iCs/>
          <w:noProof/>
          <w:sz w:val="22"/>
          <w:lang w:eastAsia="en-GB"/>
        </w:rPr>
        <w:t>2024 Annual Report</w:t>
      </w:r>
      <w:r w:rsidRPr="009C64AE">
        <w:rPr>
          <w:noProof/>
          <w:sz w:val="22"/>
          <w:lang w:eastAsia="en-GB"/>
        </w:rPr>
        <w:t>.</w:t>
      </w:r>
      <w:r>
        <w:rPr>
          <w:noProof/>
          <w:sz w:val="22"/>
          <w:lang w:eastAsia="en-GB"/>
        </w:rPr>
        <w:t xml:space="preserve"> </w:t>
      </w:r>
      <w:hyperlink r:id="rId39" w:history="1">
        <w:r w:rsidRPr="003338C5">
          <w:rPr>
            <w:rStyle w:val="Hyperlink"/>
            <w:noProof/>
            <w:sz w:val="22"/>
            <w:lang w:eastAsia="en-GB"/>
          </w:rPr>
          <w:t>https://www.gvh.hu/pfile/file?path=/gvh/orszaggyulesi_beszamolok/gvh_ogy_pb_2024&amp;inline=true</w:t>
        </w:r>
      </w:hyperlink>
      <w:r w:rsidR="00626702" w:rsidRPr="006536D8">
        <w:rPr>
          <w:noProof/>
          <w:sz w:val="22"/>
          <w:lang w:eastAsia="en-GB"/>
        </w:rPr>
        <w:t>.</w:t>
      </w:r>
      <w:r>
        <w:rPr>
          <w:noProof/>
          <w:sz w:val="22"/>
          <w:lang w:eastAsia="en-GB"/>
        </w:rPr>
        <w:t xml:space="preserve"> </w:t>
      </w:r>
    </w:p>
    <w:p w14:paraId="375C45F9" w14:textId="60A1067F" w:rsidR="002F07FB" w:rsidRPr="000357C9" w:rsidRDefault="002F07FB" w:rsidP="0097617C">
      <w:pPr>
        <w:tabs>
          <w:tab w:val="center" w:pos="4513"/>
        </w:tabs>
        <w:spacing w:after="120"/>
        <w:rPr>
          <w:noProof/>
          <w:sz w:val="22"/>
          <w:lang w:eastAsia="en-GB"/>
        </w:rPr>
      </w:pPr>
      <w:r w:rsidRPr="000357C9">
        <w:rPr>
          <w:noProof/>
          <w:sz w:val="22"/>
          <w:lang w:eastAsia="en-GB"/>
        </w:rPr>
        <w:t>Hungarian Corps of Government Officials, Code of Professional Ethics of the Hungarian Corps of Government Officials, 15 July 2025</w:t>
      </w:r>
      <w:r>
        <w:rPr>
          <w:noProof/>
          <w:sz w:val="22"/>
          <w:lang w:eastAsia="en-GB"/>
        </w:rPr>
        <w:t>.</w:t>
      </w:r>
      <w:r w:rsidRPr="000357C9">
        <w:rPr>
          <w:noProof/>
          <w:sz w:val="22"/>
          <w:lang w:eastAsia="en-GB"/>
        </w:rPr>
        <w:t xml:space="preserve">  </w:t>
      </w:r>
    </w:p>
    <w:p w14:paraId="1A5B303C" w14:textId="77777777" w:rsidR="00FC0AF3" w:rsidRDefault="00FC0AF3" w:rsidP="00FC0AF3">
      <w:pPr>
        <w:spacing w:after="120"/>
        <w:rPr>
          <w:noProof/>
          <w:sz w:val="22"/>
          <w:lang w:eastAsia="en-GB"/>
        </w:rPr>
      </w:pPr>
      <w:r w:rsidRPr="009A194E">
        <w:rPr>
          <w:noProof/>
          <w:sz w:val="22"/>
          <w:lang w:eastAsia="en-GB"/>
        </w:rPr>
        <w:t>Hungarian Helsinki Committee (2026),</w:t>
      </w:r>
      <w:r>
        <w:rPr>
          <w:noProof/>
          <w:sz w:val="22"/>
          <w:lang w:eastAsia="en-GB"/>
        </w:rPr>
        <w:t xml:space="preserve"> </w:t>
      </w:r>
      <w:r w:rsidRPr="006536D8">
        <w:rPr>
          <w:i/>
          <w:iCs/>
          <w:noProof/>
          <w:sz w:val="22"/>
          <w:lang w:eastAsia="en-GB"/>
        </w:rPr>
        <w:t>Contribution for the 2026 Rule of Law Report</w:t>
      </w:r>
      <w:r w:rsidRPr="006536D8">
        <w:rPr>
          <w:noProof/>
          <w:sz w:val="22"/>
          <w:lang w:eastAsia="en-GB"/>
        </w:rPr>
        <w:t>.</w:t>
      </w:r>
    </w:p>
    <w:p w14:paraId="7D27C45A" w14:textId="77777777" w:rsidR="002F07FB" w:rsidRPr="00D671D2" w:rsidRDefault="002F07FB" w:rsidP="00FC0AF3">
      <w:pPr>
        <w:spacing w:after="120"/>
        <w:rPr>
          <w:noProof/>
          <w:sz w:val="22"/>
          <w:lang w:eastAsia="en-GB"/>
        </w:rPr>
      </w:pPr>
      <w:r w:rsidRPr="00D671D2">
        <w:rPr>
          <w:noProof/>
          <w:sz w:val="22"/>
          <w:lang w:eastAsia="en-GB"/>
        </w:rPr>
        <w:t xml:space="preserve">HVG.hu (2025) </w:t>
      </w:r>
      <w:r w:rsidRPr="00D671D2">
        <w:rPr>
          <w:i/>
          <w:noProof/>
          <w:sz w:val="22"/>
          <w:lang w:eastAsia="en-GB"/>
        </w:rPr>
        <w:t>The court ruled on the digital civic circles’ money distribution mechanism in 51 minutes, while others wait weeks for the same thing</w:t>
      </w:r>
      <w:r w:rsidRPr="00D671D2">
        <w:rPr>
          <w:noProof/>
          <w:sz w:val="22"/>
          <w:lang w:eastAsia="en-GB"/>
        </w:rPr>
        <w:t xml:space="preserve"> (51 perc alatt bírálták el a bíróságon a DPK-k pénzosztó gépezetét, miközben mások heteket várnak ugyanerre) </w:t>
      </w:r>
      <w:hyperlink r:id="rId40" w:history="1">
        <w:r w:rsidRPr="00C068BA">
          <w:rPr>
            <w:rStyle w:val="Hyperlink"/>
            <w:noProof/>
            <w:sz w:val="22"/>
            <w:szCs w:val="22"/>
          </w:rPr>
          <w:t>https://hvg.hu/360/20251016_hvg-dpk-alapitvany-Fovarosi-Torvenyszek-gyors-bejegyzes-51-perc-ugyfelerdek</w:t>
        </w:r>
      </w:hyperlink>
      <w:r w:rsidRPr="006536D8">
        <w:rPr>
          <w:noProof/>
          <w:sz w:val="22"/>
          <w:lang w:eastAsia="en-GB"/>
        </w:rPr>
        <w:t>.</w:t>
      </w:r>
      <w:r w:rsidRPr="00D671D2">
        <w:rPr>
          <w:noProof/>
          <w:sz w:val="22"/>
          <w:lang w:eastAsia="en-GB"/>
        </w:rPr>
        <w:t xml:space="preserve"> </w:t>
      </w:r>
    </w:p>
    <w:p w14:paraId="79A4A2A8" w14:textId="77777777" w:rsidR="002F07FB" w:rsidRPr="001C3918" w:rsidRDefault="002F07FB" w:rsidP="00FC0AF3">
      <w:pPr>
        <w:spacing w:after="120"/>
        <w:rPr>
          <w:noProof/>
          <w:sz w:val="22"/>
          <w:lang w:eastAsia="en-GB"/>
        </w:rPr>
      </w:pPr>
      <w:r w:rsidRPr="00542F5F">
        <w:rPr>
          <w:noProof/>
          <w:sz w:val="22"/>
          <w:lang w:eastAsia="en-GB"/>
        </w:rPr>
        <w:t xml:space="preserve">HVG.hu (2025), </w:t>
      </w:r>
      <w:r w:rsidRPr="00060B5E">
        <w:rPr>
          <w:i/>
          <w:iCs/>
          <w:noProof/>
          <w:sz w:val="22"/>
          <w:lang w:eastAsia="en-GB"/>
        </w:rPr>
        <w:t>‘We’ve reached the end of our resources’ – due to a shortage of clerks, the president of the Budapest Regional Court requested assistance in a letter</w:t>
      </w:r>
      <w:r w:rsidRPr="00683F3F">
        <w:rPr>
          <w:noProof/>
          <w:sz w:val="22"/>
          <w:lang w:eastAsia="en-GB"/>
        </w:rPr>
        <w:t xml:space="preserve"> </w:t>
      </w:r>
      <w:r w:rsidRPr="00542F5F">
        <w:rPr>
          <w:noProof/>
          <w:sz w:val="22"/>
          <w:lang w:eastAsia="en-GB"/>
        </w:rPr>
        <w:t xml:space="preserve">(„Erőforrásaink végére értünk” – levélben kért segítséget a jegyzőhiány miatt a Fővárosi Törvényszék elnöke) </w:t>
      </w:r>
      <w:hyperlink r:id="rId41" w:history="1">
        <w:r w:rsidRPr="00542F5F">
          <w:rPr>
            <w:rStyle w:val="Hyperlink"/>
            <w:noProof/>
            <w:sz w:val="22"/>
            <w:lang w:eastAsia="en-GB"/>
          </w:rPr>
          <w:t>https://hvg.hu/360/20250903_levelben-kert-segitseget-a-jegyzohiany-miatt-a-Fovarosi-Torvenyszek-elnoke</w:t>
        </w:r>
      </w:hyperlink>
      <w:r w:rsidRPr="006536D8">
        <w:rPr>
          <w:noProof/>
          <w:sz w:val="22"/>
          <w:lang w:eastAsia="en-GB"/>
        </w:rPr>
        <w:t>.</w:t>
      </w:r>
      <w:r w:rsidRPr="00542F5F">
        <w:rPr>
          <w:noProof/>
          <w:sz w:val="22"/>
          <w:lang w:eastAsia="en-GB"/>
        </w:rPr>
        <w:t xml:space="preserve"> </w:t>
      </w:r>
    </w:p>
    <w:p w14:paraId="37563581" w14:textId="70DAF69F" w:rsidR="00FC0AF3" w:rsidRPr="006536D8" w:rsidRDefault="00FC0AF3" w:rsidP="00FC0AF3">
      <w:pPr>
        <w:spacing w:after="120"/>
        <w:rPr>
          <w:noProof/>
          <w:sz w:val="22"/>
          <w:lang w:eastAsia="en-GB"/>
        </w:rPr>
      </w:pPr>
      <w:r w:rsidRPr="006536D8">
        <w:rPr>
          <w:noProof/>
          <w:sz w:val="22"/>
          <w:lang w:eastAsia="en-GB"/>
        </w:rPr>
        <w:t xml:space="preserve">HVG.hu (2025a), </w:t>
      </w:r>
      <w:r w:rsidRPr="006536D8">
        <w:rPr>
          <w:i/>
          <w:iCs/>
          <w:noProof/>
          <w:sz w:val="22"/>
          <w:lang w:eastAsia="en-GB"/>
        </w:rPr>
        <w:t>The [Competition Authority] has opened further proceedings against Nitrogénművek</w:t>
      </w:r>
      <w:r w:rsidRPr="006536D8">
        <w:rPr>
          <w:noProof/>
          <w:sz w:val="22"/>
          <w:lang w:eastAsia="en-GB"/>
        </w:rPr>
        <w:t xml:space="preserve"> (Újabb eljárást indított a GVH a Nitrogénművek ellen) </w:t>
      </w:r>
      <w:hyperlink r:id="rId42" w:history="1">
        <w:r w:rsidRPr="006536D8">
          <w:rPr>
            <w:rStyle w:val="Hyperlink"/>
            <w:noProof/>
            <w:sz w:val="22"/>
            <w:lang w:eastAsia="en-GB"/>
          </w:rPr>
          <w:t>https://hvg.hu/kkv/20251119_GVH-Nitrogenmuvek-eljaras-Bige-Laszlo</w:t>
        </w:r>
      </w:hyperlink>
      <w:r w:rsidR="00626702" w:rsidRPr="006536D8">
        <w:rPr>
          <w:noProof/>
          <w:sz w:val="22"/>
          <w:lang w:eastAsia="en-GB"/>
        </w:rPr>
        <w:t>.</w:t>
      </w:r>
      <w:r w:rsidRPr="006536D8">
        <w:rPr>
          <w:noProof/>
          <w:sz w:val="22"/>
          <w:lang w:eastAsia="en-GB"/>
        </w:rPr>
        <w:t xml:space="preserve"> </w:t>
      </w:r>
    </w:p>
    <w:p w14:paraId="014F6930" w14:textId="32EEB7C8" w:rsidR="00FC0AF3" w:rsidRDefault="00FC0AF3" w:rsidP="00FC0AF3">
      <w:pPr>
        <w:spacing w:after="120"/>
        <w:rPr>
          <w:noProof/>
          <w:sz w:val="22"/>
          <w:lang w:eastAsia="en-GB"/>
        </w:rPr>
      </w:pPr>
      <w:r w:rsidRPr="006536D8">
        <w:rPr>
          <w:noProof/>
          <w:sz w:val="22"/>
          <w:lang w:eastAsia="en-GB"/>
        </w:rPr>
        <w:t xml:space="preserve">HVG.hu (2025b), </w:t>
      </w:r>
      <w:r w:rsidRPr="006536D8">
        <w:rPr>
          <w:i/>
          <w:iCs/>
          <w:noProof/>
          <w:sz w:val="22"/>
          <w:lang w:eastAsia="en-GB"/>
        </w:rPr>
        <w:t xml:space="preserve">The government would use the [Competition Authority] to break up foreign construction companies </w:t>
      </w:r>
      <w:r w:rsidRPr="006536D8">
        <w:rPr>
          <w:noProof/>
          <w:sz w:val="22"/>
          <w:lang w:eastAsia="en-GB"/>
        </w:rPr>
        <w:t xml:space="preserve">(A GVH-n keresztül darabolná fel a külföldi építőipari cégeket a kormány) </w:t>
      </w:r>
      <w:hyperlink r:id="rId43" w:history="1">
        <w:r w:rsidRPr="006536D8">
          <w:rPr>
            <w:rStyle w:val="Hyperlink"/>
            <w:noProof/>
            <w:sz w:val="22"/>
            <w:lang w:eastAsia="en-GB"/>
          </w:rPr>
          <w:t>https://hvg.hu/kkv/20251209_GVH-versenyjogi-torveny-epitoipari-cegek-feldarabolas</w:t>
        </w:r>
      </w:hyperlink>
      <w:r w:rsidR="00626702" w:rsidRPr="006536D8">
        <w:rPr>
          <w:noProof/>
          <w:sz w:val="22"/>
          <w:lang w:eastAsia="en-GB"/>
        </w:rPr>
        <w:t>.</w:t>
      </w:r>
      <w:r w:rsidRPr="006536D8">
        <w:rPr>
          <w:noProof/>
          <w:sz w:val="22"/>
          <w:lang w:eastAsia="en-GB"/>
        </w:rPr>
        <w:t xml:space="preserve"> </w:t>
      </w:r>
    </w:p>
    <w:p w14:paraId="4E6BD3F0" w14:textId="65104EF3" w:rsidR="00FC0AF3" w:rsidRPr="00D671D2" w:rsidRDefault="00FC0AF3" w:rsidP="00FC0AF3">
      <w:pPr>
        <w:spacing w:after="120"/>
        <w:rPr>
          <w:noProof/>
          <w:sz w:val="22"/>
          <w:lang w:eastAsia="en-GB"/>
        </w:rPr>
      </w:pPr>
      <w:r w:rsidRPr="00D671D2">
        <w:rPr>
          <w:noProof/>
          <w:sz w:val="22"/>
          <w:lang w:eastAsia="en-GB"/>
        </w:rPr>
        <w:t xml:space="preserve">HVG.hu (2026) </w:t>
      </w:r>
      <w:r w:rsidRPr="00D671D2">
        <w:rPr>
          <w:i/>
          <w:noProof/>
          <w:sz w:val="22"/>
          <w:lang w:eastAsia="en-GB"/>
        </w:rPr>
        <w:t>János Lázár would rid the judiciary of ‘TISZA judges’</w:t>
      </w:r>
      <w:r w:rsidRPr="00D671D2">
        <w:rPr>
          <w:noProof/>
          <w:sz w:val="22"/>
          <w:lang w:eastAsia="en-GB"/>
        </w:rPr>
        <w:t xml:space="preserve"> (Lázár János megszabadítaná „a tiszás bíróktól” az igazságszolgáltatást) </w:t>
      </w:r>
      <w:hyperlink r:id="rId44" w:history="1">
        <w:r w:rsidRPr="00D671D2">
          <w:rPr>
            <w:rStyle w:val="Hyperlink"/>
            <w:noProof/>
            <w:sz w:val="22"/>
            <w:lang w:eastAsia="en-GB"/>
          </w:rPr>
          <w:t>https://hvg.hu/itthon/20260130_lazar-janos-megszabaditana-a-tiszas-biroktol-az-igazsagszolgaltatast</w:t>
        </w:r>
      </w:hyperlink>
      <w:r w:rsidR="00626702" w:rsidRPr="006536D8">
        <w:rPr>
          <w:noProof/>
          <w:sz w:val="22"/>
          <w:lang w:eastAsia="en-GB"/>
        </w:rPr>
        <w:t>.</w:t>
      </w:r>
      <w:r w:rsidRPr="00D671D2">
        <w:rPr>
          <w:noProof/>
          <w:sz w:val="22"/>
          <w:lang w:eastAsia="en-GB"/>
        </w:rPr>
        <w:t xml:space="preserve"> </w:t>
      </w:r>
    </w:p>
    <w:p w14:paraId="19AE87C4" w14:textId="0026E548" w:rsidR="00FC0AF3" w:rsidRPr="00D671D2" w:rsidRDefault="00FC0AF3" w:rsidP="00FC0AF3">
      <w:pPr>
        <w:spacing w:after="120"/>
        <w:rPr>
          <w:noProof/>
          <w:sz w:val="22"/>
          <w:lang w:eastAsia="en-GB"/>
        </w:rPr>
      </w:pPr>
      <w:r w:rsidRPr="00D671D2">
        <w:rPr>
          <w:noProof/>
          <w:sz w:val="22"/>
          <w:lang w:eastAsia="en-GB"/>
        </w:rPr>
        <w:t xml:space="preserve">HVG.hu (2026), </w:t>
      </w:r>
      <w:r w:rsidRPr="00D671D2">
        <w:rPr>
          <w:i/>
          <w:noProof/>
          <w:sz w:val="22"/>
          <w:lang w:eastAsia="en-GB"/>
        </w:rPr>
        <w:t>A judge never registered with the Tisza app, yet they tried to discredit her in every way possible</w:t>
      </w:r>
      <w:r w:rsidRPr="00D671D2">
        <w:rPr>
          <w:noProof/>
          <w:sz w:val="22"/>
          <w:lang w:eastAsia="en-GB"/>
        </w:rPr>
        <w:t xml:space="preserve"> (Sosem regisztrált a Tisza applikációba az egyik bírónő, mégis megpróbálták mindenhogyan lejáratni) </w:t>
      </w:r>
      <w:hyperlink r:id="rId45" w:history="1">
        <w:r w:rsidRPr="00D671D2">
          <w:rPr>
            <w:rStyle w:val="Hyperlink"/>
            <w:noProof/>
            <w:sz w:val="22"/>
            <w:lang w:eastAsia="en-GB"/>
          </w:rPr>
          <w:t>https://hvg.hu/360/20260224_tisza-applikacio-birono-regisztracio-politikai-tamadas</w:t>
        </w:r>
      </w:hyperlink>
      <w:r w:rsidR="00626702" w:rsidRPr="006536D8">
        <w:rPr>
          <w:noProof/>
          <w:sz w:val="22"/>
          <w:lang w:eastAsia="en-GB"/>
        </w:rPr>
        <w:t>.</w:t>
      </w:r>
      <w:r w:rsidRPr="00D671D2">
        <w:rPr>
          <w:noProof/>
          <w:sz w:val="22"/>
          <w:lang w:eastAsia="en-GB"/>
        </w:rPr>
        <w:t xml:space="preserve"> </w:t>
      </w:r>
    </w:p>
    <w:p w14:paraId="5D18215B" w14:textId="1A13BF85" w:rsidR="002F07FB" w:rsidRPr="00212F12" w:rsidRDefault="002F07FB" w:rsidP="0097617C">
      <w:pPr>
        <w:tabs>
          <w:tab w:val="center" w:pos="4513"/>
        </w:tabs>
        <w:spacing w:after="120"/>
        <w:rPr>
          <w:noProof/>
          <w:sz w:val="22"/>
          <w:lang w:eastAsia="en-GB"/>
        </w:rPr>
      </w:pPr>
      <w:r w:rsidRPr="00212F12">
        <w:rPr>
          <w:noProof/>
          <w:sz w:val="22"/>
          <w:lang w:eastAsia="en-GB"/>
        </w:rPr>
        <w:t xml:space="preserve">Integrity Authority (2025a), </w:t>
      </w:r>
      <w:r w:rsidRPr="00212F12">
        <w:rPr>
          <w:i/>
          <w:iCs/>
          <w:noProof/>
          <w:sz w:val="22"/>
          <w:lang w:eastAsia="en-GB"/>
        </w:rPr>
        <w:t>The Integrity Authority's response to the Eligibility Committee report</w:t>
      </w:r>
      <w:r w:rsidRPr="00212F12">
        <w:rPr>
          <w:noProof/>
          <w:sz w:val="22"/>
          <w:lang w:eastAsia="en-GB"/>
        </w:rPr>
        <w:t xml:space="preserve">, </w:t>
      </w:r>
      <w:hyperlink r:id="rId46" w:history="1">
        <w:r w:rsidRPr="00212F12">
          <w:rPr>
            <w:noProof/>
            <w:sz w:val="22"/>
          </w:rPr>
          <w:t>https://integritashatosag.hu/en/reports/</w:t>
        </w:r>
      </w:hyperlink>
      <w:r w:rsidRPr="00212F12">
        <w:rPr>
          <w:noProof/>
          <w:sz w:val="22"/>
          <w:lang w:eastAsia="en-GB"/>
        </w:rPr>
        <w:t xml:space="preserve">.  </w:t>
      </w:r>
    </w:p>
    <w:p w14:paraId="01C48B83" w14:textId="4F1498E4" w:rsidR="002F07FB" w:rsidRPr="00212F12" w:rsidRDefault="002F07FB" w:rsidP="0097617C">
      <w:pPr>
        <w:tabs>
          <w:tab w:val="center" w:pos="4513"/>
        </w:tabs>
        <w:spacing w:after="120"/>
        <w:rPr>
          <w:noProof/>
          <w:sz w:val="22"/>
          <w:lang w:eastAsia="en-GB"/>
        </w:rPr>
      </w:pPr>
      <w:r w:rsidRPr="00212F12">
        <w:rPr>
          <w:noProof/>
          <w:sz w:val="22"/>
          <w:lang w:eastAsia="en-GB"/>
        </w:rPr>
        <w:t xml:space="preserve">Integrity Authority (2025b), </w:t>
      </w:r>
      <w:r w:rsidRPr="00212F12">
        <w:rPr>
          <w:i/>
          <w:iCs/>
          <w:noProof/>
          <w:sz w:val="22"/>
          <w:lang w:eastAsia="en-GB"/>
        </w:rPr>
        <w:t>The Eligibility Committee's report on the Integrity Authority's work</w:t>
      </w:r>
      <w:r w:rsidRPr="00212F12">
        <w:rPr>
          <w:noProof/>
          <w:sz w:val="22"/>
          <w:lang w:eastAsia="en-GB"/>
        </w:rPr>
        <w:t xml:space="preserve">, </w:t>
      </w:r>
      <w:hyperlink r:id="rId47" w:history="1">
        <w:r w:rsidRPr="00212F12">
          <w:rPr>
            <w:noProof/>
            <w:sz w:val="22"/>
            <w:lang w:eastAsia="en-GB"/>
          </w:rPr>
          <w:t>https://integritashatosag.hu/en/reports/</w:t>
        </w:r>
      </w:hyperlink>
      <w:r w:rsidRPr="00212F12">
        <w:rPr>
          <w:noProof/>
          <w:sz w:val="22"/>
          <w:lang w:eastAsia="en-GB"/>
        </w:rPr>
        <w:t xml:space="preserve">.  </w:t>
      </w:r>
    </w:p>
    <w:p w14:paraId="6C28BFD5" w14:textId="77777777" w:rsidR="002F07FB" w:rsidRPr="00212F12" w:rsidRDefault="002F07FB" w:rsidP="0097617C">
      <w:pPr>
        <w:tabs>
          <w:tab w:val="center" w:pos="4513"/>
        </w:tabs>
        <w:spacing w:after="120"/>
        <w:rPr>
          <w:noProof/>
          <w:sz w:val="22"/>
          <w:lang w:eastAsia="en-GB"/>
        </w:rPr>
      </w:pPr>
      <w:r w:rsidRPr="00212F12">
        <w:rPr>
          <w:noProof/>
          <w:sz w:val="22"/>
          <w:lang w:eastAsia="en-GB"/>
        </w:rPr>
        <w:t xml:space="preserve">Integrity Authority (2025c), </w:t>
      </w:r>
      <w:r w:rsidRPr="00212F12">
        <w:rPr>
          <w:i/>
          <w:iCs/>
          <w:noProof/>
          <w:sz w:val="22"/>
          <w:lang w:eastAsia="en-GB"/>
        </w:rPr>
        <w:t>Annual Analytical Integrity Report 2024</w:t>
      </w:r>
      <w:r w:rsidRPr="00212F12">
        <w:rPr>
          <w:noProof/>
          <w:sz w:val="22"/>
          <w:lang w:eastAsia="en-GB"/>
        </w:rPr>
        <w:t xml:space="preserve">, </w:t>
      </w:r>
      <w:hyperlink r:id="rId48" w:history="1">
        <w:r w:rsidRPr="00212F12">
          <w:rPr>
            <w:noProof/>
            <w:sz w:val="22"/>
          </w:rPr>
          <w:t>https://integritashatosag.hu/en/reports/</w:t>
        </w:r>
      </w:hyperlink>
      <w:r w:rsidRPr="00212F12">
        <w:rPr>
          <w:noProof/>
          <w:sz w:val="22"/>
          <w:lang w:eastAsia="en-GB"/>
        </w:rPr>
        <w:t xml:space="preserve"> . </w:t>
      </w:r>
    </w:p>
    <w:p w14:paraId="459DF3AB" w14:textId="33061BD6" w:rsidR="004B3DD3" w:rsidRDefault="002F07FB" w:rsidP="00FC0AF3">
      <w:pPr>
        <w:spacing w:after="120"/>
        <w:rPr>
          <w:noProof/>
          <w:sz w:val="22"/>
          <w:lang w:eastAsia="en-GB"/>
        </w:rPr>
      </w:pPr>
      <w:r>
        <w:rPr>
          <w:noProof/>
          <w:sz w:val="22"/>
          <w:lang w:eastAsia="en-GB"/>
        </w:rPr>
        <w:t xml:space="preserve">Integrity Authority (2026), </w:t>
      </w:r>
      <w:r w:rsidRPr="00AB2163">
        <w:rPr>
          <w:i/>
          <w:iCs/>
          <w:noProof/>
          <w:sz w:val="22"/>
          <w:lang w:eastAsia="en-GB"/>
        </w:rPr>
        <w:t>2025 Annual report to Parliament</w:t>
      </w:r>
      <w:r>
        <w:rPr>
          <w:noProof/>
          <w:sz w:val="22"/>
          <w:lang w:eastAsia="en-GB"/>
        </w:rPr>
        <w:t xml:space="preserve">, </w:t>
      </w:r>
      <w:hyperlink r:id="rId49" w:history="1">
        <w:r w:rsidR="006A7812" w:rsidRPr="0071102F">
          <w:rPr>
            <w:rStyle w:val="Hyperlink"/>
            <w:noProof/>
            <w:sz w:val="22"/>
            <w:lang w:eastAsia="en-GB"/>
          </w:rPr>
          <w:t>https://integritashatosag.hu/wp-content/uploads/2026/06/Eves-elemzo-integritasjelentes-20250630.pdf</w:t>
        </w:r>
      </w:hyperlink>
      <w:r w:rsidR="006A7812">
        <w:rPr>
          <w:noProof/>
          <w:sz w:val="22"/>
          <w:lang w:eastAsia="en-GB"/>
        </w:rPr>
        <w:t xml:space="preserve"> </w:t>
      </w:r>
      <w:r>
        <w:rPr>
          <w:noProof/>
          <w:sz w:val="22"/>
          <w:lang w:eastAsia="en-GB"/>
        </w:rPr>
        <w:t xml:space="preserve">. </w:t>
      </w:r>
    </w:p>
    <w:p w14:paraId="25DF03D3" w14:textId="469E7254" w:rsidR="002F07FB" w:rsidRDefault="002F07FB" w:rsidP="0097617C">
      <w:pPr>
        <w:tabs>
          <w:tab w:val="center" w:pos="4513"/>
        </w:tabs>
        <w:spacing w:after="120"/>
        <w:rPr>
          <w:noProof/>
          <w:sz w:val="22"/>
          <w:lang w:eastAsia="en-GB"/>
        </w:rPr>
      </w:pPr>
      <w:r w:rsidRPr="000357C9">
        <w:rPr>
          <w:noProof/>
          <w:sz w:val="22"/>
          <w:lang w:eastAsia="en-GB"/>
        </w:rPr>
        <w:t>K-Monitor</w:t>
      </w:r>
      <w:r>
        <w:rPr>
          <w:noProof/>
          <w:sz w:val="22"/>
          <w:lang w:eastAsia="en-GB"/>
        </w:rPr>
        <w:t xml:space="preserve"> (2025)</w:t>
      </w:r>
      <w:r w:rsidRPr="000357C9">
        <w:rPr>
          <w:noProof/>
          <w:sz w:val="22"/>
          <w:lang w:eastAsia="en-GB"/>
        </w:rPr>
        <w:t xml:space="preserve">, </w:t>
      </w:r>
      <w:r w:rsidRPr="00212F12">
        <w:rPr>
          <w:i/>
          <w:iCs/>
          <w:noProof/>
          <w:sz w:val="22"/>
          <w:lang w:eastAsia="en-GB"/>
        </w:rPr>
        <w:t>Péter Polt, the unpunishable: the prosecutor's office used tricks to prevent us from submitting our motion for review</w:t>
      </w:r>
      <w:r w:rsidRPr="000357C9">
        <w:rPr>
          <w:noProof/>
          <w:sz w:val="22"/>
          <w:lang w:eastAsia="en-GB"/>
        </w:rPr>
        <w:t xml:space="preserve">, </w:t>
      </w:r>
      <w:hyperlink r:id="rId50" w:history="1">
        <w:r w:rsidR="004A1713" w:rsidRPr="00605139">
          <w:rPr>
            <w:rStyle w:val="Hyperlink"/>
            <w:noProof/>
            <w:sz w:val="22"/>
            <w:lang w:eastAsia="en-GB"/>
          </w:rPr>
          <w:t>https://k.blog.hu/2025/08/22/polt_peter_a_buntethetetlen_trukkozessel_lehetetlenitette_el_az_ugyeszseg_a_felulbiralati_inditvanyu</w:t>
        </w:r>
      </w:hyperlink>
      <w:r w:rsidR="00E32920">
        <w:rPr>
          <w:noProof/>
          <w:sz w:val="22"/>
          <w:lang w:eastAsia="en-GB"/>
        </w:rPr>
        <w:t>.</w:t>
      </w:r>
      <w:r w:rsidR="006A7812">
        <w:rPr>
          <w:noProof/>
          <w:sz w:val="22"/>
          <w:lang w:eastAsia="en-GB"/>
        </w:rPr>
        <w:t xml:space="preserve"> </w:t>
      </w:r>
    </w:p>
    <w:p w14:paraId="579B1B0E" w14:textId="317A8DC8" w:rsidR="00FC0AF3" w:rsidRPr="006536D8" w:rsidRDefault="00FC0AF3" w:rsidP="00FC0AF3">
      <w:pPr>
        <w:spacing w:after="120"/>
        <w:rPr>
          <w:noProof/>
          <w:sz w:val="22"/>
          <w:lang w:eastAsia="en-GB"/>
        </w:rPr>
      </w:pPr>
      <w:r>
        <w:rPr>
          <w:noProof/>
          <w:sz w:val="22"/>
          <w:lang w:eastAsia="en-GB"/>
        </w:rPr>
        <w:t xml:space="preserve">K-Monitor (2026), </w:t>
      </w:r>
      <w:r w:rsidRPr="006536D8">
        <w:rPr>
          <w:i/>
          <w:iCs/>
          <w:noProof/>
          <w:sz w:val="22"/>
          <w:lang w:eastAsia="en-GB"/>
        </w:rPr>
        <w:t>Contribution for the 2026 Rule of Law Report</w:t>
      </w:r>
      <w:r w:rsidRPr="006536D8">
        <w:rPr>
          <w:noProof/>
          <w:sz w:val="22"/>
          <w:lang w:eastAsia="en-GB"/>
        </w:rPr>
        <w:t>.</w:t>
      </w:r>
    </w:p>
    <w:p w14:paraId="7469D268" w14:textId="14F806B3" w:rsidR="00FC0AF3" w:rsidRDefault="00FC0AF3" w:rsidP="00FC0AF3">
      <w:pPr>
        <w:spacing w:after="120"/>
        <w:rPr>
          <w:noProof/>
          <w:sz w:val="22"/>
          <w:lang w:val="hu-HU" w:eastAsia="en-GB"/>
        </w:rPr>
      </w:pPr>
      <w:r>
        <w:rPr>
          <w:noProof/>
          <w:sz w:val="22"/>
          <w:lang w:val="hu-HU" w:eastAsia="en-GB"/>
        </w:rPr>
        <w:t xml:space="preserve">Kúria (2025a), </w:t>
      </w:r>
      <w:r w:rsidRPr="00EA2E29">
        <w:rPr>
          <w:i/>
          <w:iCs/>
          <w:noProof/>
          <w:sz w:val="22"/>
          <w:lang w:val="hu-HU" w:eastAsia="en-GB"/>
        </w:rPr>
        <w:t xml:space="preserve">Press release of </w:t>
      </w:r>
      <w:r>
        <w:rPr>
          <w:i/>
          <w:iCs/>
          <w:noProof/>
          <w:sz w:val="22"/>
          <w:lang w:val="hu-HU" w:eastAsia="en-GB"/>
        </w:rPr>
        <w:t>24</w:t>
      </w:r>
      <w:r w:rsidRPr="00EA2E29">
        <w:rPr>
          <w:i/>
          <w:iCs/>
          <w:noProof/>
          <w:sz w:val="22"/>
          <w:lang w:val="hu-HU" w:eastAsia="en-GB"/>
        </w:rPr>
        <w:t xml:space="preserve"> November 2025</w:t>
      </w:r>
      <w:r>
        <w:rPr>
          <w:i/>
          <w:iCs/>
          <w:noProof/>
          <w:sz w:val="22"/>
          <w:lang w:val="hu-HU" w:eastAsia="en-GB"/>
        </w:rPr>
        <w:t>.</w:t>
      </w:r>
      <w:r>
        <w:rPr>
          <w:noProof/>
          <w:sz w:val="22"/>
          <w:lang w:val="hu-HU" w:eastAsia="en-GB"/>
        </w:rPr>
        <w:t xml:space="preserve"> </w:t>
      </w:r>
      <w:hyperlink r:id="rId51" w:history="1">
        <w:r w:rsidRPr="003338C5">
          <w:rPr>
            <w:rStyle w:val="Hyperlink"/>
            <w:noProof/>
            <w:sz w:val="22"/>
            <w:lang w:val="hu-HU" w:eastAsia="en-GB"/>
          </w:rPr>
          <w:t>https://kuria-birosag.hu/hu/sajto/kuria-kozlemenye-19</w:t>
        </w:r>
      </w:hyperlink>
      <w:r w:rsidR="00626702" w:rsidRPr="006536D8">
        <w:rPr>
          <w:noProof/>
          <w:sz w:val="22"/>
          <w:lang w:eastAsia="en-GB"/>
        </w:rPr>
        <w:t>.</w:t>
      </w:r>
      <w:r>
        <w:rPr>
          <w:noProof/>
          <w:sz w:val="22"/>
          <w:lang w:val="hu-HU" w:eastAsia="en-GB"/>
        </w:rPr>
        <w:t xml:space="preserve"> </w:t>
      </w:r>
    </w:p>
    <w:p w14:paraId="1AB9D652" w14:textId="4358240C" w:rsidR="00FC0AF3" w:rsidRPr="00316D99" w:rsidRDefault="00FC0AF3" w:rsidP="00FC0AF3">
      <w:pPr>
        <w:spacing w:after="120"/>
        <w:rPr>
          <w:noProof/>
          <w:sz w:val="22"/>
          <w:lang w:val="hu-HU" w:eastAsia="en-GB"/>
        </w:rPr>
      </w:pPr>
      <w:r>
        <w:rPr>
          <w:noProof/>
          <w:sz w:val="22"/>
          <w:lang w:val="hu-HU" w:eastAsia="en-GB"/>
        </w:rPr>
        <w:t xml:space="preserve">Kúria (2025b), </w:t>
      </w:r>
      <w:r w:rsidRPr="00EA2E29">
        <w:rPr>
          <w:i/>
          <w:iCs/>
          <w:noProof/>
          <w:sz w:val="22"/>
          <w:lang w:val="hu-HU" w:eastAsia="en-GB"/>
        </w:rPr>
        <w:t>Press release of 6 November 2025</w:t>
      </w:r>
      <w:r>
        <w:rPr>
          <w:noProof/>
          <w:sz w:val="22"/>
          <w:lang w:val="hu-HU" w:eastAsia="en-GB"/>
        </w:rPr>
        <w:t xml:space="preserve">. </w:t>
      </w:r>
      <w:hyperlink r:id="rId52" w:history="1">
        <w:r w:rsidRPr="003338C5">
          <w:rPr>
            <w:rStyle w:val="Hyperlink"/>
            <w:noProof/>
            <w:sz w:val="22"/>
            <w:lang w:val="hu-HU" w:eastAsia="en-GB"/>
          </w:rPr>
          <w:t>https://kuria-birosag.hu/hu/sajto/kuria-kozlemenye-17</w:t>
        </w:r>
      </w:hyperlink>
      <w:r w:rsidR="00140371" w:rsidRPr="006536D8">
        <w:rPr>
          <w:noProof/>
          <w:sz w:val="22"/>
          <w:lang w:eastAsia="en-GB"/>
        </w:rPr>
        <w:t>.</w:t>
      </w:r>
      <w:r>
        <w:rPr>
          <w:noProof/>
          <w:sz w:val="22"/>
          <w:lang w:val="hu-HU" w:eastAsia="en-GB"/>
        </w:rPr>
        <w:t xml:space="preserve"> </w:t>
      </w:r>
    </w:p>
    <w:p w14:paraId="665FC90D" w14:textId="30E42D15" w:rsidR="00FC0AF3" w:rsidRPr="00E7166F" w:rsidRDefault="00FC0AF3" w:rsidP="00FC0AF3">
      <w:pPr>
        <w:spacing w:after="120"/>
        <w:rPr>
          <w:noProof/>
          <w:sz w:val="22"/>
          <w:lang w:val="en-IE" w:eastAsia="en-GB"/>
        </w:rPr>
      </w:pPr>
      <w:r w:rsidRPr="00E7166F">
        <w:rPr>
          <w:noProof/>
          <w:sz w:val="22"/>
          <w:lang w:val="en-IE" w:eastAsia="en-GB"/>
        </w:rPr>
        <w:t xml:space="preserve">Kúria (2026), </w:t>
      </w:r>
      <w:r w:rsidRPr="00E7166F">
        <w:rPr>
          <w:i/>
          <w:iCs/>
          <w:noProof/>
          <w:sz w:val="22"/>
          <w:lang w:val="en-IE" w:eastAsia="en-GB"/>
        </w:rPr>
        <w:t>Press release of 16 February 2026.</w:t>
      </w:r>
      <w:r w:rsidRPr="00E7166F">
        <w:rPr>
          <w:noProof/>
          <w:sz w:val="22"/>
          <w:lang w:val="en-IE" w:eastAsia="en-GB"/>
        </w:rPr>
        <w:t xml:space="preserve"> </w:t>
      </w:r>
      <w:hyperlink r:id="rId53" w:history="1">
        <w:r w:rsidRPr="00E7166F">
          <w:rPr>
            <w:rStyle w:val="Hyperlink"/>
            <w:noProof/>
            <w:sz w:val="22"/>
            <w:lang w:val="en-IE" w:eastAsia="en-GB"/>
          </w:rPr>
          <w:t>https://kuria-birosag.hu/hu/sajto/kuria-elnokenek-kozlemenye-frissitettuk</w:t>
        </w:r>
      </w:hyperlink>
      <w:r w:rsidR="00140371" w:rsidRPr="006536D8">
        <w:rPr>
          <w:noProof/>
          <w:sz w:val="22"/>
          <w:lang w:eastAsia="en-GB"/>
        </w:rPr>
        <w:t>.</w:t>
      </w:r>
      <w:r w:rsidRPr="00E7166F">
        <w:rPr>
          <w:noProof/>
          <w:sz w:val="22"/>
          <w:lang w:val="en-IE" w:eastAsia="en-GB"/>
        </w:rPr>
        <w:t xml:space="preserve"> </w:t>
      </w:r>
    </w:p>
    <w:p w14:paraId="03B0D995" w14:textId="77777777" w:rsidR="00FC0AF3" w:rsidRPr="006536D8" w:rsidRDefault="00FC0AF3" w:rsidP="00FC0AF3">
      <w:pPr>
        <w:spacing w:after="120"/>
        <w:rPr>
          <w:noProof/>
          <w:sz w:val="22"/>
          <w:lang w:eastAsia="en-GB"/>
        </w:rPr>
      </w:pPr>
      <w:r>
        <w:rPr>
          <w:noProof/>
          <w:sz w:val="22"/>
          <w:lang w:eastAsia="en-GB"/>
        </w:rPr>
        <w:t xml:space="preserve">MEDEL (2026), </w:t>
      </w:r>
      <w:r w:rsidRPr="00C825A7">
        <w:rPr>
          <w:i/>
          <w:iCs/>
          <w:noProof/>
          <w:sz w:val="22"/>
          <w:lang w:eastAsia="en-GB"/>
        </w:rPr>
        <w:t>Contribution for the 2026 Rule of Law Report.</w:t>
      </w:r>
    </w:p>
    <w:p w14:paraId="3297E526" w14:textId="7559A841" w:rsidR="00FC0AF3" w:rsidRPr="00F80F10" w:rsidRDefault="00FC0AF3" w:rsidP="00FC0AF3">
      <w:pPr>
        <w:spacing w:after="120"/>
        <w:rPr>
          <w:noProof/>
          <w:sz w:val="22"/>
          <w:lang w:val="en-IE" w:eastAsia="en-GB"/>
        </w:rPr>
      </w:pPr>
      <w:r w:rsidRPr="00F80F10">
        <w:rPr>
          <w:noProof/>
          <w:sz w:val="22"/>
          <w:lang w:val="en-IE" w:eastAsia="en-GB"/>
        </w:rPr>
        <w:t xml:space="preserve">National Judicial Council (2025), </w:t>
      </w:r>
      <w:r w:rsidRPr="00F80F10">
        <w:rPr>
          <w:i/>
          <w:iCs/>
          <w:noProof/>
          <w:sz w:val="22"/>
          <w:lang w:val="en-IE" w:eastAsia="en-GB"/>
        </w:rPr>
        <w:t>Verbatim minutes of the 3 December 2025 meeting</w:t>
      </w:r>
      <w:r>
        <w:rPr>
          <w:noProof/>
          <w:sz w:val="22"/>
          <w:lang w:val="en-IE" w:eastAsia="en-GB"/>
        </w:rPr>
        <w:t>.</w:t>
      </w:r>
      <w:r w:rsidRPr="00F80F10">
        <w:rPr>
          <w:noProof/>
          <w:sz w:val="22"/>
          <w:lang w:val="en-IE" w:eastAsia="en-GB"/>
        </w:rPr>
        <w:t xml:space="preserve"> </w:t>
      </w:r>
      <w:hyperlink r:id="rId54" w:history="1">
        <w:r w:rsidRPr="00F80F10">
          <w:rPr>
            <w:rStyle w:val="Hyperlink"/>
            <w:noProof/>
            <w:sz w:val="22"/>
            <w:lang w:val="en-IE" w:eastAsia="en-GB"/>
          </w:rPr>
          <w:t>https://obt-jud.hu/sites/default/files/ulesek/Jegyzokonyv_2025.12.03.pdf</w:t>
        </w:r>
      </w:hyperlink>
      <w:r w:rsidR="00140371" w:rsidRPr="006536D8">
        <w:rPr>
          <w:noProof/>
          <w:sz w:val="22"/>
          <w:lang w:eastAsia="en-GB"/>
        </w:rPr>
        <w:t>.</w:t>
      </w:r>
      <w:r w:rsidRPr="00F80F10">
        <w:rPr>
          <w:noProof/>
          <w:sz w:val="22"/>
          <w:lang w:val="en-IE" w:eastAsia="en-GB"/>
        </w:rPr>
        <w:t xml:space="preserve"> </w:t>
      </w:r>
    </w:p>
    <w:p w14:paraId="083EA93E" w14:textId="77777777" w:rsidR="00FC0AF3" w:rsidRDefault="00FC0AF3" w:rsidP="00FC0AF3">
      <w:pPr>
        <w:spacing w:after="120"/>
        <w:rPr>
          <w:noProof/>
          <w:sz w:val="22"/>
          <w:lang w:eastAsia="en-GB"/>
        </w:rPr>
      </w:pPr>
      <w:r>
        <w:rPr>
          <w:noProof/>
          <w:sz w:val="22"/>
          <w:lang w:eastAsia="en-GB"/>
        </w:rPr>
        <w:t xml:space="preserve">National Judicial Council (2026a), </w:t>
      </w:r>
      <w:r w:rsidRPr="00C825A7">
        <w:rPr>
          <w:i/>
          <w:iCs/>
          <w:noProof/>
          <w:sz w:val="22"/>
          <w:lang w:eastAsia="en-GB"/>
        </w:rPr>
        <w:t>Contribution for the 2026 Rule of Law Report.</w:t>
      </w:r>
    </w:p>
    <w:p w14:paraId="66EF591B" w14:textId="538FF87C" w:rsidR="00FC0AF3" w:rsidRDefault="00FC0AF3" w:rsidP="00FC0AF3">
      <w:pPr>
        <w:spacing w:after="120"/>
        <w:rPr>
          <w:noProof/>
          <w:sz w:val="22"/>
          <w:lang w:eastAsia="en-GB"/>
        </w:rPr>
      </w:pPr>
      <w:r>
        <w:rPr>
          <w:noProof/>
          <w:sz w:val="22"/>
          <w:lang w:eastAsia="en-GB"/>
        </w:rPr>
        <w:t xml:space="preserve">National Judicial Council (2026b), </w:t>
      </w:r>
      <w:r w:rsidRPr="00F80F10">
        <w:rPr>
          <w:i/>
          <w:iCs/>
          <w:noProof/>
          <w:sz w:val="22"/>
          <w:lang w:val="en-IE" w:eastAsia="en-GB"/>
        </w:rPr>
        <w:t xml:space="preserve">Verbatim minutes of the </w:t>
      </w:r>
      <w:r>
        <w:rPr>
          <w:i/>
          <w:iCs/>
          <w:noProof/>
          <w:sz w:val="22"/>
          <w:lang w:val="en-IE" w:eastAsia="en-GB"/>
        </w:rPr>
        <w:t>4</w:t>
      </w:r>
      <w:r w:rsidRPr="00F80F10">
        <w:rPr>
          <w:i/>
          <w:iCs/>
          <w:noProof/>
          <w:sz w:val="22"/>
          <w:lang w:val="en-IE" w:eastAsia="en-GB"/>
        </w:rPr>
        <w:t xml:space="preserve"> </w:t>
      </w:r>
      <w:r>
        <w:rPr>
          <w:i/>
          <w:iCs/>
          <w:noProof/>
          <w:sz w:val="22"/>
          <w:lang w:val="en-IE" w:eastAsia="en-GB"/>
        </w:rPr>
        <w:t>February</w:t>
      </w:r>
      <w:r w:rsidRPr="00F80F10">
        <w:rPr>
          <w:i/>
          <w:iCs/>
          <w:noProof/>
          <w:sz w:val="22"/>
          <w:lang w:val="en-IE" w:eastAsia="en-GB"/>
        </w:rPr>
        <w:t xml:space="preserve"> 202</w:t>
      </w:r>
      <w:r>
        <w:rPr>
          <w:i/>
          <w:iCs/>
          <w:noProof/>
          <w:sz w:val="22"/>
          <w:lang w:val="en-IE" w:eastAsia="en-GB"/>
        </w:rPr>
        <w:t>6</w:t>
      </w:r>
      <w:r w:rsidRPr="00F80F10">
        <w:rPr>
          <w:i/>
          <w:iCs/>
          <w:noProof/>
          <w:sz w:val="22"/>
          <w:lang w:val="en-IE" w:eastAsia="en-GB"/>
        </w:rPr>
        <w:t xml:space="preserve"> meeting</w:t>
      </w:r>
      <w:r>
        <w:rPr>
          <w:noProof/>
          <w:sz w:val="22"/>
          <w:lang w:val="en-IE" w:eastAsia="en-GB"/>
        </w:rPr>
        <w:t xml:space="preserve">. </w:t>
      </w:r>
      <w:hyperlink r:id="rId55" w:history="1">
        <w:r w:rsidRPr="00DC58FD">
          <w:rPr>
            <w:rStyle w:val="Hyperlink"/>
            <w:noProof/>
            <w:sz w:val="22"/>
            <w:lang w:val="en-IE" w:eastAsia="en-GB"/>
          </w:rPr>
          <w:t>https://obt-jud.hu/sites/default/files/ulesek/Jegyzokonyv_2026.02.04.pdf</w:t>
        </w:r>
      </w:hyperlink>
      <w:r w:rsidR="00140371" w:rsidRPr="006536D8">
        <w:rPr>
          <w:noProof/>
          <w:sz w:val="22"/>
          <w:lang w:eastAsia="en-GB"/>
        </w:rPr>
        <w:t>.</w:t>
      </w:r>
      <w:r>
        <w:rPr>
          <w:noProof/>
          <w:sz w:val="22"/>
          <w:lang w:val="en-IE" w:eastAsia="en-GB"/>
        </w:rPr>
        <w:t xml:space="preserve"> </w:t>
      </w:r>
    </w:p>
    <w:p w14:paraId="073A59BF" w14:textId="5486C441" w:rsidR="00FC0AF3" w:rsidRDefault="00FC0AF3" w:rsidP="00FC0AF3">
      <w:pPr>
        <w:spacing w:after="120"/>
        <w:rPr>
          <w:noProof/>
          <w:sz w:val="22"/>
          <w:lang w:eastAsia="en-GB"/>
        </w:rPr>
      </w:pPr>
      <w:r w:rsidRPr="00F80F10">
        <w:rPr>
          <w:noProof/>
          <w:sz w:val="22"/>
          <w:lang w:val="en-IE" w:eastAsia="en-GB"/>
        </w:rPr>
        <w:t>National Judicial Council (202</w:t>
      </w:r>
      <w:r>
        <w:rPr>
          <w:noProof/>
          <w:sz w:val="22"/>
          <w:lang w:val="en-IE" w:eastAsia="en-GB"/>
        </w:rPr>
        <w:t>6c</w:t>
      </w:r>
      <w:r w:rsidRPr="00F80F10">
        <w:rPr>
          <w:noProof/>
          <w:sz w:val="22"/>
          <w:lang w:val="en-IE" w:eastAsia="en-GB"/>
        </w:rPr>
        <w:t xml:space="preserve">), </w:t>
      </w:r>
      <w:r w:rsidRPr="00F80F10">
        <w:rPr>
          <w:i/>
          <w:iCs/>
          <w:noProof/>
          <w:sz w:val="22"/>
          <w:lang w:val="en-IE" w:eastAsia="en-GB"/>
        </w:rPr>
        <w:t xml:space="preserve">Verbatim minutes of the </w:t>
      </w:r>
      <w:r>
        <w:rPr>
          <w:i/>
          <w:iCs/>
          <w:noProof/>
          <w:sz w:val="22"/>
          <w:lang w:val="en-IE" w:eastAsia="en-GB"/>
        </w:rPr>
        <w:t>14</w:t>
      </w:r>
      <w:r w:rsidRPr="00F80F10">
        <w:rPr>
          <w:i/>
          <w:iCs/>
          <w:noProof/>
          <w:sz w:val="22"/>
          <w:lang w:val="en-IE" w:eastAsia="en-GB"/>
        </w:rPr>
        <w:t xml:space="preserve"> </w:t>
      </w:r>
      <w:r>
        <w:rPr>
          <w:i/>
          <w:iCs/>
          <w:noProof/>
          <w:sz w:val="22"/>
          <w:lang w:val="en-IE" w:eastAsia="en-GB"/>
        </w:rPr>
        <w:t>January</w:t>
      </w:r>
      <w:r w:rsidRPr="00F80F10">
        <w:rPr>
          <w:i/>
          <w:iCs/>
          <w:noProof/>
          <w:sz w:val="22"/>
          <w:lang w:val="en-IE" w:eastAsia="en-GB"/>
        </w:rPr>
        <w:t xml:space="preserve"> 202</w:t>
      </w:r>
      <w:r>
        <w:rPr>
          <w:i/>
          <w:iCs/>
          <w:noProof/>
          <w:sz w:val="22"/>
          <w:lang w:val="en-IE" w:eastAsia="en-GB"/>
        </w:rPr>
        <w:t>6</w:t>
      </w:r>
      <w:r w:rsidRPr="00F80F10">
        <w:rPr>
          <w:i/>
          <w:iCs/>
          <w:noProof/>
          <w:sz w:val="22"/>
          <w:lang w:val="en-IE" w:eastAsia="en-GB"/>
        </w:rPr>
        <w:t xml:space="preserve"> meeting</w:t>
      </w:r>
      <w:r>
        <w:rPr>
          <w:noProof/>
          <w:sz w:val="22"/>
          <w:lang w:val="en-IE" w:eastAsia="en-GB"/>
        </w:rPr>
        <w:t xml:space="preserve">. </w:t>
      </w:r>
      <w:hyperlink r:id="rId56" w:history="1">
        <w:r w:rsidRPr="005F6F5A">
          <w:rPr>
            <w:rStyle w:val="Hyperlink"/>
            <w:noProof/>
            <w:sz w:val="22"/>
            <w:lang w:eastAsia="en-GB"/>
          </w:rPr>
          <w:t>https://obt-jud.hu/sites/default/files/ulesek/Jegyzokonyv_2026.01.14.pdf</w:t>
        </w:r>
      </w:hyperlink>
      <w:r w:rsidR="00140371" w:rsidRPr="006536D8">
        <w:rPr>
          <w:noProof/>
          <w:sz w:val="22"/>
          <w:lang w:eastAsia="en-GB"/>
        </w:rPr>
        <w:t>.</w:t>
      </w:r>
    </w:p>
    <w:p w14:paraId="2065D5A3" w14:textId="0F735038" w:rsidR="00ED7330" w:rsidRPr="00ED7330" w:rsidRDefault="00ED7330" w:rsidP="00FC0AF3">
      <w:pPr>
        <w:spacing w:after="120"/>
        <w:rPr>
          <w:noProof/>
          <w:sz w:val="22"/>
          <w:lang w:val="en-IE" w:eastAsia="en-GB"/>
        </w:rPr>
      </w:pPr>
      <w:r>
        <w:rPr>
          <w:noProof/>
          <w:sz w:val="22"/>
          <w:lang w:val="en-IE" w:eastAsia="en-GB"/>
        </w:rPr>
        <w:t xml:space="preserve">OECD (2026), </w:t>
      </w:r>
      <w:r w:rsidRPr="00ED7330">
        <w:rPr>
          <w:i/>
          <w:iCs/>
          <w:noProof/>
          <w:sz w:val="22"/>
          <w:lang w:val="en-IE" w:eastAsia="en-GB"/>
        </w:rPr>
        <w:t>Anti‑Corruption and Integrity Outlook 2026: Hungary</w:t>
      </w:r>
      <w:r w:rsidR="00F7674B">
        <w:rPr>
          <w:i/>
          <w:iCs/>
          <w:noProof/>
          <w:sz w:val="22"/>
          <w:lang w:val="en-IE" w:eastAsia="en-GB"/>
        </w:rPr>
        <w:t xml:space="preserve">, </w:t>
      </w:r>
      <w:hyperlink r:id="rId57" w:anchor="section-d1e295" w:history="1">
        <w:r w:rsidR="008829CB" w:rsidRPr="0071102F">
          <w:rPr>
            <w:rStyle w:val="Hyperlink"/>
            <w:noProof/>
            <w:sz w:val="22"/>
            <w:lang w:val="en-IE" w:eastAsia="en-GB"/>
          </w:rPr>
          <w:t>https://www.oecd.org/en/publications/anti-corruption-and-integrity-outlook-2026_0c8910f8-en/hungary_c2686ea4-en.html#section-d1e295</w:t>
        </w:r>
      </w:hyperlink>
      <w:r w:rsidR="008829CB">
        <w:rPr>
          <w:noProof/>
          <w:sz w:val="22"/>
          <w:lang w:val="en-IE" w:eastAsia="en-GB"/>
        </w:rPr>
        <w:t xml:space="preserve"> .</w:t>
      </w:r>
    </w:p>
    <w:p w14:paraId="6491AE4E" w14:textId="0212EE8B" w:rsidR="00FC0AF3" w:rsidRDefault="00FC0AF3" w:rsidP="00FC0AF3">
      <w:pPr>
        <w:spacing w:after="120"/>
        <w:rPr>
          <w:noProof/>
          <w:sz w:val="22"/>
          <w:lang w:eastAsia="en-GB"/>
        </w:rPr>
      </w:pPr>
      <w:r>
        <w:rPr>
          <w:noProof/>
          <w:sz w:val="22"/>
          <w:lang w:eastAsia="en-GB"/>
        </w:rPr>
        <w:t xml:space="preserve">Office of the Commissioner for Fundamental Rights (2025), </w:t>
      </w:r>
      <w:r w:rsidRPr="00C808C6">
        <w:rPr>
          <w:i/>
          <w:iCs/>
          <w:noProof/>
          <w:sz w:val="22"/>
          <w:lang w:eastAsia="en-GB"/>
        </w:rPr>
        <w:t>Press statement of 18 November 2025</w:t>
      </w:r>
      <w:r>
        <w:rPr>
          <w:noProof/>
          <w:sz w:val="22"/>
          <w:lang w:eastAsia="en-GB"/>
        </w:rPr>
        <w:t xml:space="preserve">. </w:t>
      </w:r>
      <w:hyperlink r:id="rId58" w:history="1">
        <w:r w:rsidRPr="009726E4">
          <w:rPr>
            <w:rStyle w:val="Hyperlink"/>
            <w:noProof/>
            <w:sz w:val="22"/>
            <w:lang w:eastAsia="en-GB"/>
          </w:rPr>
          <w:t>https://www.ajbh.hu/en/-/2670755-298</w:t>
        </w:r>
      </w:hyperlink>
      <w:r w:rsidR="00140371" w:rsidRPr="006536D8">
        <w:rPr>
          <w:noProof/>
          <w:sz w:val="22"/>
          <w:lang w:eastAsia="en-GB"/>
        </w:rPr>
        <w:t>.</w:t>
      </w:r>
      <w:r>
        <w:rPr>
          <w:noProof/>
          <w:sz w:val="22"/>
          <w:lang w:eastAsia="en-GB"/>
        </w:rPr>
        <w:t xml:space="preserve"> </w:t>
      </w:r>
    </w:p>
    <w:p w14:paraId="416EA043" w14:textId="77777777" w:rsidR="002F07FB" w:rsidRDefault="002F07FB" w:rsidP="00FC0AF3">
      <w:pPr>
        <w:spacing w:after="120"/>
        <w:rPr>
          <w:noProof/>
          <w:sz w:val="22"/>
          <w:lang w:eastAsia="en-GB"/>
        </w:rPr>
      </w:pPr>
      <w:r>
        <w:rPr>
          <w:noProof/>
          <w:sz w:val="22"/>
          <w:lang w:eastAsia="en-GB"/>
        </w:rPr>
        <w:t xml:space="preserve">Ökotárs (2026), </w:t>
      </w:r>
      <w:r w:rsidRPr="00C825A7">
        <w:rPr>
          <w:i/>
          <w:iCs/>
          <w:noProof/>
          <w:sz w:val="22"/>
          <w:lang w:eastAsia="en-GB"/>
        </w:rPr>
        <w:t>Contribution for the 2026 Rule of Law Report.</w:t>
      </w:r>
    </w:p>
    <w:p w14:paraId="43D8CFD6" w14:textId="77777777" w:rsidR="00FC0AF3" w:rsidRPr="006536D8" w:rsidRDefault="00FC0AF3" w:rsidP="00FC0AF3">
      <w:pPr>
        <w:spacing w:after="120"/>
        <w:rPr>
          <w:noProof/>
          <w:sz w:val="22"/>
          <w:lang w:eastAsia="en-GB"/>
        </w:rPr>
      </w:pPr>
      <w:r>
        <w:rPr>
          <w:noProof/>
          <w:sz w:val="22"/>
          <w:lang w:eastAsia="en-GB"/>
        </w:rPr>
        <w:t xml:space="preserve">Ost-Ausschuss der Deutschen Wirtschaft – German Eastern Business Association (2026), </w:t>
      </w:r>
      <w:r w:rsidRPr="00C825A7">
        <w:rPr>
          <w:i/>
          <w:iCs/>
          <w:noProof/>
          <w:sz w:val="22"/>
          <w:lang w:eastAsia="en-GB"/>
        </w:rPr>
        <w:t>Contribution for the 2026 Rule of Law Report.</w:t>
      </w:r>
    </w:p>
    <w:p w14:paraId="1DBB4124" w14:textId="708DD263" w:rsidR="002B0456" w:rsidRPr="005140FA" w:rsidRDefault="002B0456" w:rsidP="00FC0AF3">
      <w:pPr>
        <w:spacing w:after="120"/>
        <w:rPr>
          <w:noProof/>
          <w:sz w:val="22"/>
          <w:lang w:eastAsia="en-GB"/>
        </w:rPr>
      </w:pPr>
      <w:r>
        <w:rPr>
          <w:noProof/>
          <w:sz w:val="22"/>
          <w:lang w:eastAsia="en-GB"/>
        </w:rPr>
        <w:t>Pr</w:t>
      </w:r>
      <w:r w:rsidR="00D85901">
        <w:rPr>
          <w:noProof/>
          <w:sz w:val="22"/>
          <w:lang w:eastAsia="en-GB"/>
        </w:rPr>
        <w:t>osecution</w:t>
      </w:r>
      <w:r>
        <w:rPr>
          <w:noProof/>
          <w:sz w:val="22"/>
          <w:lang w:eastAsia="en-GB"/>
        </w:rPr>
        <w:t xml:space="preserve"> service</w:t>
      </w:r>
      <w:r w:rsidR="00D85901">
        <w:rPr>
          <w:noProof/>
          <w:sz w:val="22"/>
          <w:lang w:eastAsia="en-GB"/>
        </w:rPr>
        <w:t xml:space="preserve"> (2026)</w:t>
      </w:r>
      <w:r>
        <w:rPr>
          <w:noProof/>
          <w:sz w:val="22"/>
          <w:lang w:eastAsia="en-GB"/>
        </w:rPr>
        <w:t xml:space="preserve">, </w:t>
      </w:r>
      <w:r w:rsidR="00D85901" w:rsidRPr="00D85901">
        <w:rPr>
          <w:i/>
          <w:iCs/>
          <w:noProof/>
          <w:sz w:val="22"/>
          <w:lang w:eastAsia="en-GB"/>
        </w:rPr>
        <w:t>Indictment Filed Against the President of the Hungarian Integrity Authority</w:t>
      </w:r>
      <w:r w:rsidR="00D85901">
        <w:rPr>
          <w:i/>
          <w:iCs/>
          <w:noProof/>
          <w:sz w:val="22"/>
          <w:lang w:eastAsia="en-GB"/>
        </w:rPr>
        <w:t xml:space="preserve">, </w:t>
      </w:r>
      <w:r w:rsidR="00D85901">
        <w:rPr>
          <w:noProof/>
          <w:sz w:val="22"/>
          <w:lang w:eastAsia="en-GB"/>
        </w:rPr>
        <w:t>9 June 2026</w:t>
      </w:r>
      <w:r w:rsidR="009E6502">
        <w:rPr>
          <w:noProof/>
          <w:sz w:val="22"/>
          <w:lang w:eastAsia="en-GB"/>
        </w:rPr>
        <w:t xml:space="preserve">, </w:t>
      </w:r>
      <w:hyperlink r:id="rId59" w:history="1">
        <w:r w:rsidR="00D545FC" w:rsidRPr="002B20CA">
          <w:rPr>
            <w:rStyle w:val="Hyperlink"/>
            <w:noProof/>
            <w:sz w:val="22"/>
            <w:lang w:eastAsia="en-GB"/>
          </w:rPr>
          <w:t>https://ugyeszseg.hu/en/indictment-filed-against-the-president-of-the-integrity-authority/</w:t>
        </w:r>
      </w:hyperlink>
      <w:r w:rsidR="00D545FC">
        <w:rPr>
          <w:noProof/>
          <w:sz w:val="22"/>
          <w:lang w:eastAsia="en-GB"/>
        </w:rPr>
        <w:t xml:space="preserve">. </w:t>
      </w:r>
    </w:p>
    <w:p w14:paraId="6AF41C5A" w14:textId="5F24B186" w:rsidR="00FC0AF3" w:rsidRPr="006536D8" w:rsidRDefault="00FC0AF3" w:rsidP="00FC0AF3">
      <w:pPr>
        <w:spacing w:after="120"/>
        <w:rPr>
          <w:noProof/>
          <w:sz w:val="22"/>
          <w:lang w:eastAsia="en-GB"/>
        </w:rPr>
      </w:pPr>
      <w:r w:rsidRPr="006536D8">
        <w:rPr>
          <w:noProof/>
          <w:sz w:val="22"/>
          <w:lang w:eastAsia="en-GB"/>
        </w:rPr>
        <w:t xml:space="preserve">Qubit (2025), </w:t>
      </w:r>
      <w:r w:rsidRPr="006536D8">
        <w:rPr>
          <w:i/>
          <w:iCs/>
          <w:noProof/>
          <w:sz w:val="22"/>
          <w:lang w:eastAsia="en-GB"/>
        </w:rPr>
        <w:t>Twelve years’ worth of revealing documents were secretly removed from the ombudsman</w:t>
      </w:r>
      <w:r>
        <w:rPr>
          <w:i/>
          <w:iCs/>
          <w:noProof/>
          <w:sz w:val="22"/>
          <w:lang w:eastAsia="en-GB"/>
        </w:rPr>
        <w:t>’</w:t>
      </w:r>
      <w:r w:rsidRPr="006536D8">
        <w:rPr>
          <w:i/>
          <w:iCs/>
          <w:noProof/>
          <w:sz w:val="22"/>
          <w:lang w:eastAsia="en-GB"/>
        </w:rPr>
        <w:t>s website overnight</w:t>
      </w:r>
      <w:r w:rsidRPr="006536D8">
        <w:rPr>
          <w:noProof/>
          <w:sz w:val="22"/>
          <w:lang w:eastAsia="en-GB"/>
        </w:rPr>
        <w:t xml:space="preserve"> (Egyik napról a másikra, titokban eltüntették 12 év leleplező értékű dokumentumait az ombudsmani hivatal honlapjáról) </w:t>
      </w:r>
      <w:hyperlink r:id="rId60" w:history="1">
        <w:r w:rsidRPr="006536D8">
          <w:rPr>
            <w:rStyle w:val="Hyperlink"/>
            <w:noProof/>
            <w:sz w:val="22"/>
            <w:lang w:eastAsia="en-GB"/>
          </w:rPr>
          <w:t>https://qubit.hu/2025/11/17/egyik-naprol-a-masikratitokban-eltuntettek-12-ev-leleplezo-erteku-dokumentumait-az-ombudsmani-hivatal-honlapjarol</w:t>
        </w:r>
      </w:hyperlink>
      <w:r w:rsidR="00140371" w:rsidRPr="006536D8">
        <w:rPr>
          <w:noProof/>
          <w:sz w:val="22"/>
          <w:lang w:eastAsia="en-GB"/>
        </w:rPr>
        <w:t>.</w:t>
      </w:r>
      <w:r w:rsidRPr="006536D8">
        <w:rPr>
          <w:noProof/>
          <w:sz w:val="22"/>
          <w:lang w:eastAsia="en-GB"/>
        </w:rPr>
        <w:t xml:space="preserve">   </w:t>
      </w:r>
    </w:p>
    <w:p w14:paraId="17B683BA" w14:textId="77777777" w:rsidR="002F07FB" w:rsidRDefault="002F07FB" w:rsidP="0097617C">
      <w:pPr>
        <w:tabs>
          <w:tab w:val="center" w:pos="4513"/>
        </w:tabs>
        <w:spacing w:after="120"/>
        <w:rPr>
          <w:noProof/>
          <w:sz w:val="22"/>
          <w:lang w:eastAsia="en-GB"/>
        </w:rPr>
      </w:pPr>
      <w:r>
        <w:rPr>
          <w:noProof/>
          <w:sz w:val="22"/>
          <w:lang w:eastAsia="en-GB"/>
        </w:rPr>
        <w:t xml:space="preserve">Telex (2025), </w:t>
      </w:r>
      <w:r w:rsidRPr="00212F12">
        <w:rPr>
          <w:i/>
          <w:iCs/>
          <w:noProof/>
          <w:sz w:val="22"/>
          <w:lang w:eastAsia="en-GB"/>
        </w:rPr>
        <w:t>The penitentiary authority is issuing a warrant for the former Socialist deputy mayor of Terézváros, who was sentenced to prison</w:t>
      </w:r>
      <w:r>
        <w:rPr>
          <w:noProof/>
          <w:sz w:val="22"/>
          <w:lang w:eastAsia="en-GB"/>
        </w:rPr>
        <w:t xml:space="preserve">, </w:t>
      </w:r>
      <w:hyperlink r:id="rId61" w:history="1">
        <w:r w:rsidRPr="00571D15">
          <w:rPr>
            <w:rStyle w:val="Hyperlink"/>
            <w:noProof/>
            <w:sz w:val="22"/>
            <w:lang w:eastAsia="en-GB"/>
          </w:rPr>
          <w:t>https://telex.hu/belfold/2025/10/22/korozteti-a-buntetes-vegrehajtas-terezvaros-volt-szocialista-alpolgarmesteret-akit-letoltendo-bortonre-iteltek</w:t>
        </w:r>
      </w:hyperlink>
      <w:r w:rsidRPr="006F079B">
        <w:rPr>
          <w:noProof/>
          <w:sz w:val="22"/>
          <w:lang w:eastAsia="en-GB"/>
        </w:rPr>
        <w:t>.</w:t>
      </w:r>
    </w:p>
    <w:p w14:paraId="31F09F02" w14:textId="725B104B" w:rsidR="00FC0AF3" w:rsidRDefault="00FC0AF3" w:rsidP="00FC0AF3">
      <w:pPr>
        <w:spacing w:after="120"/>
        <w:rPr>
          <w:noProof/>
          <w:sz w:val="22"/>
          <w:lang w:eastAsia="en-GB"/>
        </w:rPr>
      </w:pPr>
      <w:r w:rsidRPr="00E72949">
        <w:rPr>
          <w:noProof/>
          <w:sz w:val="22"/>
          <w:lang w:eastAsia="en-GB"/>
        </w:rPr>
        <w:t xml:space="preserve">Transparency International </w:t>
      </w:r>
      <w:r>
        <w:rPr>
          <w:noProof/>
          <w:sz w:val="22"/>
          <w:lang w:eastAsia="en-GB"/>
        </w:rPr>
        <w:t>Hungary (2025),</w:t>
      </w:r>
      <w:r w:rsidRPr="00E72949">
        <w:rPr>
          <w:noProof/>
          <w:sz w:val="22"/>
          <w:lang w:eastAsia="en-GB"/>
        </w:rPr>
        <w:t xml:space="preserve"> </w:t>
      </w:r>
      <w:r w:rsidRPr="0058155B">
        <w:rPr>
          <w:i/>
          <w:iCs/>
          <w:noProof/>
          <w:sz w:val="22"/>
          <w:lang w:eastAsia="en-GB"/>
        </w:rPr>
        <w:t>Public Funds and Private Profits: The Role of State Resources in Hungarian Private Equity Funds</w:t>
      </w:r>
      <w:r>
        <w:rPr>
          <w:noProof/>
          <w:sz w:val="22"/>
          <w:lang w:eastAsia="en-GB"/>
        </w:rPr>
        <w:t xml:space="preserve"> </w:t>
      </w:r>
      <w:hyperlink r:id="rId62" w:history="1">
        <w:r w:rsidRPr="004B0079">
          <w:rPr>
            <w:rStyle w:val="Hyperlink"/>
            <w:noProof/>
            <w:sz w:val="22"/>
            <w:lang w:eastAsia="en-GB"/>
          </w:rPr>
          <w:t>https://transparency.hu/wp-content/uploads/2025/12/Ti-Hu_public_funds_and_private_profits_web-1.pdf</w:t>
        </w:r>
      </w:hyperlink>
      <w:r w:rsidR="00140371" w:rsidRPr="006536D8">
        <w:rPr>
          <w:noProof/>
          <w:sz w:val="22"/>
          <w:lang w:eastAsia="en-GB"/>
        </w:rPr>
        <w:t>.</w:t>
      </w:r>
      <w:r>
        <w:rPr>
          <w:noProof/>
          <w:sz w:val="22"/>
          <w:lang w:eastAsia="en-GB"/>
        </w:rPr>
        <w:t xml:space="preserve"> </w:t>
      </w:r>
      <w:r w:rsidRPr="00C45D8B" w:rsidDel="00C306E7">
        <w:rPr>
          <w:noProof/>
          <w:sz w:val="22"/>
          <w:lang w:eastAsia="en-GB"/>
        </w:rPr>
        <w:t xml:space="preserve"> </w:t>
      </w:r>
    </w:p>
    <w:p w14:paraId="1B06247D" w14:textId="0940B531" w:rsidR="002F07FB" w:rsidRPr="006F079B" w:rsidRDefault="002F07FB" w:rsidP="0097617C">
      <w:pPr>
        <w:tabs>
          <w:tab w:val="center" w:pos="4513"/>
        </w:tabs>
        <w:spacing w:after="120"/>
        <w:rPr>
          <w:noProof/>
          <w:sz w:val="22"/>
          <w:lang w:eastAsia="en-GB"/>
        </w:rPr>
      </w:pPr>
      <w:r w:rsidRPr="006F079B">
        <w:rPr>
          <w:noProof/>
          <w:sz w:val="22"/>
          <w:lang w:eastAsia="en-GB"/>
        </w:rPr>
        <w:t>Transparency International Hungary</w:t>
      </w:r>
      <w:r>
        <w:rPr>
          <w:noProof/>
          <w:sz w:val="22"/>
          <w:lang w:eastAsia="en-GB"/>
        </w:rPr>
        <w:t xml:space="preserve"> (2025)</w:t>
      </w:r>
      <w:r w:rsidRPr="006F079B">
        <w:rPr>
          <w:noProof/>
          <w:sz w:val="22"/>
          <w:lang w:eastAsia="en-GB"/>
        </w:rPr>
        <w:t xml:space="preserve">, </w:t>
      </w:r>
      <w:r w:rsidRPr="00212F12">
        <w:rPr>
          <w:i/>
          <w:iCs/>
          <w:noProof/>
          <w:sz w:val="22"/>
          <w:lang w:eastAsia="en-GB"/>
        </w:rPr>
        <w:t>Tender Champions – The performance of companies winning public procurement contracts and the role of their owners in public administration</w:t>
      </w:r>
      <w:r w:rsidRPr="006F079B">
        <w:rPr>
          <w:noProof/>
          <w:sz w:val="22"/>
          <w:lang w:eastAsia="en-GB"/>
        </w:rPr>
        <w:t xml:space="preserve">, </w:t>
      </w:r>
      <w:hyperlink r:id="rId63" w:history="1">
        <w:r w:rsidR="00AC487F" w:rsidRPr="00605139">
          <w:rPr>
            <w:rStyle w:val="Hyperlink"/>
            <w:noProof/>
            <w:sz w:val="22"/>
            <w:lang w:eastAsia="en-GB"/>
          </w:rPr>
          <w:t>https://transparency.hu/wp-content/uploads/2025/03/tenderbajnok_web_elemzes_final.pdf</w:t>
        </w:r>
      </w:hyperlink>
      <w:r w:rsidR="007E1BFE">
        <w:rPr>
          <w:noProof/>
          <w:sz w:val="22"/>
          <w:lang w:eastAsia="en-GB"/>
        </w:rPr>
        <w:t>.</w:t>
      </w:r>
    </w:p>
    <w:p w14:paraId="7710E25F" w14:textId="2685703A" w:rsidR="00FC0AF3" w:rsidRDefault="00FC0AF3" w:rsidP="00FC0AF3">
      <w:pPr>
        <w:spacing w:after="120"/>
        <w:rPr>
          <w:noProof/>
          <w:sz w:val="22"/>
          <w:lang w:eastAsia="en-GB"/>
        </w:rPr>
      </w:pPr>
      <w:r w:rsidRPr="006536D8">
        <w:rPr>
          <w:noProof/>
          <w:sz w:val="22"/>
          <w:lang w:eastAsia="en-GB"/>
        </w:rPr>
        <w:t xml:space="preserve">Venice Commission (2025), Hungary - </w:t>
      </w:r>
      <w:r w:rsidRPr="00C808C6">
        <w:rPr>
          <w:i/>
          <w:iCs/>
          <w:noProof/>
          <w:sz w:val="22"/>
          <w:lang w:eastAsia="en-GB"/>
        </w:rPr>
        <w:t>Opinion on the Compatibility with International Human Rights Standards of the Fifteenth Amendment to the Fundamental Law of Hungary</w:t>
      </w:r>
      <w:r w:rsidRPr="006536D8">
        <w:rPr>
          <w:noProof/>
          <w:sz w:val="22"/>
          <w:lang w:eastAsia="en-GB"/>
        </w:rPr>
        <w:t xml:space="preserve">, </w:t>
      </w:r>
      <w:r w:rsidRPr="00C068BA">
        <w:rPr>
          <w:noProof/>
          <w:sz w:val="22"/>
          <w:lang w:eastAsia="en-GB"/>
        </w:rPr>
        <w:t>13 October 2025</w:t>
      </w:r>
      <w:r w:rsidRPr="006536D8">
        <w:rPr>
          <w:noProof/>
          <w:sz w:val="22"/>
          <w:lang w:eastAsia="en-GB"/>
        </w:rPr>
        <w:t xml:space="preserve"> </w:t>
      </w:r>
      <w:hyperlink r:id="rId64" w:history="1">
        <w:r w:rsidRPr="006536D8">
          <w:rPr>
            <w:rStyle w:val="Hyperlink"/>
            <w:noProof/>
            <w:sz w:val="22"/>
            <w:lang w:eastAsia="en-GB"/>
          </w:rPr>
          <w:t>https://www.venice.coe.int/webforms/documents/default.aspx?pdffile=CDL-AD(2025)043-e</w:t>
        </w:r>
      </w:hyperlink>
      <w:r w:rsidR="00140371" w:rsidRPr="006536D8">
        <w:rPr>
          <w:noProof/>
          <w:sz w:val="22"/>
          <w:lang w:eastAsia="en-GB"/>
        </w:rPr>
        <w:t>.</w:t>
      </w:r>
      <w:r w:rsidRPr="006536D8">
        <w:rPr>
          <w:noProof/>
          <w:sz w:val="22"/>
          <w:lang w:eastAsia="en-GB"/>
        </w:rPr>
        <w:t xml:space="preserve"> </w:t>
      </w:r>
    </w:p>
    <w:p w14:paraId="5DC93DC3" w14:textId="61EAFEB3" w:rsidR="00FC0AF3" w:rsidRPr="006536D8" w:rsidRDefault="00FC0AF3" w:rsidP="00FC0AF3">
      <w:pPr>
        <w:spacing w:after="120"/>
        <w:rPr>
          <w:noProof/>
          <w:sz w:val="22"/>
          <w:lang w:eastAsia="en-GB"/>
        </w:rPr>
      </w:pPr>
      <w:r>
        <w:rPr>
          <w:noProof/>
          <w:sz w:val="22"/>
          <w:lang w:eastAsia="en-GB"/>
        </w:rPr>
        <w:t xml:space="preserve">Venice Commission (2025), </w:t>
      </w:r>
      <w:r w:rsidRPr="00472FCB">
        <w:rPr>
          <w:i/>
          <w:iCs/>
          <w:noProof/>
          <w:sz w:val="22"/>
          <w:lang w:eastAsia="en-GB"/>
        </w:rPr>
        <w:t>Venice Commission (2025), Hungary - Opinion on the constitutional and legislative amendments concerning the requirements to be appointed Prosecutor General and Constitutional Court Judge of as well as the appointment and judges</w:t>
      </w:r>
      <w:r>
        <w:rPr>
          <w:noProof/>
          <w:sz w:val="22"/>
          <w:lang w:eastAsia="en-GB"/>
        </w:rPr>
        <w:t xml:space="preserve">, 16 June 2025 </w:t>
      </w:r>
      <w:hyperlink r:id="rId65" w:history="1">
        <w:r w:rsidRPr="003338C5">
          <w:rPr>
            <w:rStyle w:val="Hyperlink"/>
            <w:noProof/>
            <w:sz w:val="22"/>
            <w:lang w:eastAsia="en-GB"/>
          </w:rPr>
          <w:t>https://www.venice.coe.int/webforms/documents/default.aspx?pdffile=CDL-AD(2025)028-e</w:t>
        </w:r>
      </w:hyperlink>
      <w:r w:rsidR="00140371" w:rsidRPr="006536D8">
        <w:rPr>
          <w:noProof/>
          <w:sz w:val="22"/>
          <w:lang w:eastAsia="en-GB"/>
        </w:rPr>
        <w:t>.</w:t>
      </w:r>
      <w:r>
        <w:rPr>
          <w:noProof/>
          <w:sz w:val="22"/>
          <w:lang w:eastAsia="en-GB"/>
        </w:rPr>
        <w:t xml:space="preserve"> </w:t>
      </w:r>
    </w:p>
    <w:p w14:paraId="0C53475F" w14:textId="145E6CFB" w:rsidR="00FC0AF3" w:rsidRDefault="00FC0AF3" w:rsidP="00FC0AF3">
      <w:pPr>
        <w:spacing w:after="120"/>
        <w:rPr>
          <w:noProof/>
          <w:sz w:val="22"/>
          <w:lang w:eastAsia="en-GB"/>
        </w:rPr>
      </w:pPr>
      <w:r>
        <w:rPr>
          <w:noProof/>
          <w:sz w:val="22"/>
          <w:lang w:eastAsia="en-GB"/>
        </w:rPr>
        <w:t xml:space="preserve">Verfassungsblog (2025), </w:t>
      </w:r>
      <w:r w:rsidRPr="00157F6D">
        <w:rPr>
          <w:i/>
          <w:noProof/>
          <w:sz w:val="22"/>
          <w:lang w:eastAsia="en-GB"/>
        </w:rPr>
        <w:t>Doxing Judges - How a Serious Personal Data Breach Exposed the Continuing Vulnerability of Hungary’s Judges</w:t>
      </w:r>
      <w:r>
        <w:rPr>
          <w:noProof/>
          <w:sz w:val="22"/>
          <w:lang w:eastAsia="en-GB"/>
        </w:rPr>
        <w:t xml:space="preserve"> </w:t>
      </w:r>
      <w:hyperlink r:id="rId66" w:history="1">
        <w:r w:rsidRPr="00DF1487">
          <w:rPr>
            <w:rStyle w:val="Hyperlink"/>
            <w:noProof/>
            <w:sz w:val="22"/>
            <w:lang w:eastAsia="en-GB"/>
          </w:rPr>
          <w:t>https://verfassungsblog.de/hungary-judges-leak-list/</w:t>
        </w:r>
      </w:hyperlink>
      <w:r w:rsidR="00140371" w:rsidRPr="006536D8">
        <w:rPr>
          <w:noProof/>
          <w:sz w:val="22"/>
          <w:lang w:eastAsia="en-GB"/>
        </w:rPr>
        <w:t>.</w:t>
      </w:r>
      <w:r>
        <w:rPr>
          <w:noProof/>
          <w:sz w:val="22"/>
          <w:lang w:eastAsia="en-GB"/>
        </w:rPr>
        <w:t xml:space="preserve"> </w:t>
      </w:r>
    </w:p>
    <w:p w14:paraId="71E5BFB5" w14:textId="77777777" w:rsidR="00FC0AF3" w:rsidRDefault="00FC0AF3" w:rsidP="00FC0AF3">
      <w:pPr>
        <w:spacing w:after="120"/>
        <w:rPr>
          <w:i/>
          <w:noProof/>
          <w:sz w:val="22"/>
          <w:lang w:eastAsia="en-GB"/>
        </w:rPr>
      </w:pPr>
      <w:r w:rsidRPr="006536D8">
        <w:rPr>
          <w:noProof/>
          <w:sz w:val="22"/>
          <w:lang w:eastAsia="en-GB"/>
        </w:rPr>
        <w:t xml:space="preserve">WKÖ – Austrian Federal Economic Chamber (2026), </w:t>
      </w:r>
      <w:r w:rsidRPr="0014038E">
        <w:rPr>
          <w:i/>
          <w:noProof/>
          <w:sz w:val="22"/>
          <w:lang w:eastAsia="en-GB"/>
        </w:rPr>
        <w:t>Contribution for the 2026 Rule of Law Report.</w:t>
      </w:r>
    </w:p>
    <w:p w14:paraId="2A52C4C4" w14:textId="77777777" w:rsidR="004F575A" w:rsidRDefault="004F575A">
      <w:pPr>
        <w:spacing w:after="0"/>
        <w:jc w:val="left"/>
        <w:rPr>
          <w:iCs/>
          <w:noProof/>
          <w:sz w:val="22"/>
          <w:lang w:eastAsia="en-GB"/>
        </w:rPr>
      </w:pPr>
      <w:r>
        <w:rPr>
          <w:iCs/>
          <w:noProof/>
          <w:sz w:val="22"/>
          <w:lang w:eastAsia="en-GB"/>
        </w:rPr>
        <w:br w:type="page"/>
      </w:r>
    </w:p>
    <w:p w14:paraId="561A3176" w14:textId="65923B0C" w:rsidR="00C34824" w:rsidRPr="0024487B" w:rsidRDefault="00DC3B15" w:rsidP="00FC0AF3">
      <w:pPr>
        <w:spacing w:after="120"/>
        <w:rPr>
          <w:noProof/>
          <w:sz w:val="22"/>
          <w:lang w:eastAsia="en-GB"/>
        </w:rPr>
      </w:pPr>
      <w:r w:rsidRPr="00CC4E09">
        <w:rPr>
          <w:iCs/>
          <w:noProof/>
          <w:sz w:val="22"/>
          <w:lang w:eastAsia="en-GB"/>
        </w:rPr>
        <w:t>National legislation:</w:t>
      </w:r>
    </w:p>
    <w:p w14:paraId="3BCE04FD" w14:textId="7CA2032C" w:rsidR="00A554B1" w:rsidRDefault="00A554B1" w:rsidP="00FC0AF3">
      <w:pPr>
        <w:spacing w:after="120"/>
        <w:rPr>
          <w:iCs/>
          <w:noProof/>
          <w:sz w:val="22"/>
          <w:lang w:eastAsia="en-GB"/>
        </w:rPr>
      </w:pPr>
      <w:r w:rsidRPr="00A554B1">
        <w:rPr>
          <w:iCs/>
          <w:noProof/>
          <w:sz w:val="22"/>
          <w:lang w:eastAsia="en-GB"/>
        </w:rPr>
        <w:t>Act on XXXIV of 1994 on Police (‘the Police Act’)</w:t>
      </w:r>
    </w:p>
    <w:p w14:paraId="1B19DC1D" w14:textId="5AC7BDED" w:rsidR="001372DD" w:rsidRDefault="001372DD" w:rsidP="00FC0AF3">
      <w:pPr>
        <w:spacing w:after="120"/>
        <w:rPr>
          <w:iCs/>
          <w:noProof/>
          <w:sz w:val="22"/>
          <w:lang w:eastAsia="en-GB"/>
        </w:rPr>
      </w:pPr>
      <w:r w:rsidRPr="001372DD">
        <w:rPr>
          <w:iCs/>
          <w:noProof/>
          <w:sz w:val="22"/>
          <w:lang w:eastAsia="en-GB"/>
        </w:rPr>
        <w:t xml:space="preserve">Act LVII of 1996 on the prohibition of unfair trading practices and unfair competition (‘the Competition Act’) </w:t>
      </w:r>
    </w:p>
    <w:p w14:paraId="71D3EE0D" w14:textId="29E0697E" w:rsidR="00E8103B" w:rsidRDefault="00E8103B" w:rsidP="00FC0AF3">
      <w:pPr>
        <w:spacing w:after="120"/>
        <w:rPr>
          <w:iCs/>
          <w:noProof/>
          <w:sz w:val="22"/>
          <w:lang w:eastAsia="en-GB"/>
        </w:rPr>
      </w:pPr>
      <w:r w:rsidRPr="00E8103B">
        <w:rPr>
          <w:iCs/>
          <w:noProof/>
          <w:sz w:val="22"/>
          <w:lang w:eastAsia="en-GB"/>
        </w:rPr>
        <w:t xml:space="preserve">Act CXXXI of 2010 on </w:t>
      </w:r>
      <w:r w:rsidR="00BC597A">
        <w:rPr>
          <w:iCs/>
          <w:noProof/>
          <w:sz w:val="22"/>
          <w:lang w:eastAsia="en-GB"/>
        </w:rPr>
        <w:t>public</w:t>
      </w:r>
      <w:r w:rsidRPr="00E8103B">
        <w:rPr>
          <w:iCs/>
          <w:noProof/>
          <w:sz w:val="22"/>
          <w:lang w:eastAsia="en-GB"/>
        </w:rPr>
        <w:t xml:space="preserve"> participation in the preparation of legislation </w:t>
      </w:r>
      <w:r w:rsidR="00095D34">
        <w:rPr>
          <w:iCs/>
          <w:noProof/>
          <w:sz w:val="22"/>
          <w:lang w:eastAsia="en-GB"/>
        </w:rPr>
        <w:t>(‘the Public Participation Act’)</w:t>
      </w:r>
    </w:p>
    <w:p w14:paraId="5DF8DD7D" w14:textId="214A0633" w:rsidR="004A0A06" w:rsidRDefault="004A0A06" w:rsidP="00FC0AF3">
      <w:pPr>
        <w:spacing w:after="120"/>
        <w:rPr>
          <w:iCs/>
          <w:noProof/>
          <w:sz w:val="22"/>
          <w:lang w:eastAsia="en-GB"/>
        </w:rPr>
      </w:pPr>
      <w:r w:rsidRPr="004A0A06">
        <w:rPr>
          <w:iCs/>
          <w:noProof/>
          <w:sz w:val="22"/>
          <w:lang w:eastAsia="en-GB"/>
        </w:rPr>
        <w:t>Act CLXXXV of 2010 on media services and on the mass media (‘the Media Act’)</w:t>
      </w:r>
    </w:p>
    <w:p w14:paraId="38E31EB9" w14:textId="77777777" w:rsidR="00893799" w:rsidRDefault="00893799" w:rsidP="00FC0AF3">
      <w:pPr>
        <w:spacing w:after="120"/>
        <w:rPr>
          <w:iCs/>
          <w:noProof/>
          <w:sz w:val="22"/>
          <w:lang w:eastAsia="en-GB"/>
        </w:rPr>
      </w:pPr>
      <w:r w:rsidRPr="00893799">
        <w:rPr>
          <w:iCs/>
          <w:noProof/>
          <w:sz w:val="22"/>
          <w:lang w:eastAsia="en-GB"/>
        </w:rPr>
        <w:t xml:space="preserve">Act CXII of 2011 on the right of informational self-determination and freedom of information (‘the Freedom of Information Act’) </w:t>
      </w:r>
    </w:p>
    <w:p w14:paraId="5F94BD4A" w14:textId="10917FDE" w:rsidR="00BC4A20" w:rsidRDefault="00BC4A20" w:rsidP="00FC0AF3">
      <w:pPr>
        <w:spacing w:after="120"/>
        <w:rPr>
          <w:iCs/>
          <w:noProof/>
          <w:sz w:val="22"/>
          <w:lang w:eastAsia="en-GB"/>
        </w:rPr>
      </w:pPr>
      <w:r w:rsidRPr="00BC4A20">
        <w:rPr>
          <w:iCs/>
          <w:noProof/>
          <w:sz w:val="22"/>
          <w:lang w:eastAsia="en-GB"/>
        </w:rPr>
        <w:t>Act CLI of 2011 on the Constitutional Court (‘the Constitutional Court Act’)</w:t>
      </w:r>
    </w:p>
    <w:p w14:paraId="0B26F534" w14:textId="313DDB50" w:rsidR="00531EE5" w:rsidRDefault="00531EE5" w:rsidP="00FC0AF3">
      <w:pPr>
        <w:spacing w:after="120"/>
        <w:rPr>
          <w:iCs/>
          <w:noProof/>
          <w:sz w:val="22"/>
          <w:lang w:eastAsia="en-GB"/>
        </w:rPr>
      </w:pPr>
      <w:r w:rsidRPr="00531EE5">
        <w:rPr>
          <w:iCs/>
          <w:noProof/>
          <w:sz w:val="22"/>
          <w:lang w:eastAsia="en-GB"/>
        </w:rPr>
        <w:t>Act CLXI of 2011 on the organisation and administration of courts (‘the Organisation and Administration of Courts Act’)</w:t>
      </w:r>
    </w:p>
    <w:p w14:paraId="0B343663" w14:textId="6F918477" w:rsidR="0076737B" w:rsidRDefault="0076737B" w:rsidP="00FC0AF3">
      <w:pPr>
        <w:spacing w:after="120"/>
        <w:rPr>
          <w:iCs/>
          <w:noProof/>
          <w:sz w:val="22"/>
          <w:lang w:eastAsia="en-GB"/>
        </w:rPr>
      </w:pPr>
      <w:r w:rsidRPr="0076737B">
        <w:rPr>
          <w:iCs/>
          <w:noProof/>
          <w:sz w:val="22"/>
          <w:lang w:eastAsia="en-GB"/>
        </w:rPr>
        <w:t>Act CLXII of 2011 on the legal status and remuneration of judges (‘the Legal Status and Remuneration of Judges Act’)</w:t>
      </w:r>
    </w:p>
    <w:p w14:paraId="10EB524D" w14:textId="06BEC4E8" w:rsidR="00C93BE4" w:rsidRDefault="00C93BE4" w:rsidP="00FC0AF3">
      <w:pPr>
        <w:spacing w:after="120"/>
        <w:rPr>
          <w:iCs/>
          <w:noProof/>
          <w:sz w:val="22"/>
          <w:lang w:eastAsia="en-GB"/>
        </w:rPr>
      </w:pPr>
      <w:r w:rsidRPr="00C93BE4">
        <w:rPr>
          <w:iCs/>
          <w:noProof/>
          <w:sz w:val="22"/>
          <w:lang w:eastAsia="en-GB"/>
        </w:rPr>
        <w:t>Act LXXXVII of 2013 on the transparency of campaign costs for the election of Members of Parliament</w:t>
      </w:r>
    </w:p>
    <w:p w14:paraId="3E0CA5CC" w14:textId="60060C9F" w:rsidR="000C1835" w:rsidRDefault="000C1835" w:rsidP="00FC0AF3">
      <w:pPr>
        <w:spacing w:after="120"/>
        <w:rPr>
          <w:iCs/>
          <w:noProof/>
          <w:sz w:val="22"/>
          <w:lang w:eastAsia="en-GB"/>
        </w:rPr>
      </w:pPr>
      <w:r w:rsidRPr="000C1835">
        <w:rPr>
          <w:iCs/>
          <w:noProof/>
          <w:sz w:val="22"/>
          <w:lang w:eastAsia="en-GB"/>
        </w:rPr>
        <w:t>Act CXXX of 2016 on civil procedure (‘the Civil Procedure Code’)</w:t>
      </w:r>
    </w:p>
    <w:p w14:paraId="05F43193" w14:textId="77777777" w:rsidR="00464D29" w:rsidRDefault="00464D29" w:rsidP="00FC0AF3">
      <w:pPr>
        <w:spacing w:after="120"/>
        <w:rPr>
          <w:iCs/>
          <w:noProof/>
          <w:sz w:val="22"/>
          <w:lang w:eastAsia="en-GB"/>
        </w:rPr>
      </w:pPr>
      <w:r w:rsidRPr="00464D29">
        <w:rPr>
          <w:iCs/>
          <w:noProof/>
          <w:sz w:val="22"/>
          <w:lang w:eastAsia="en-GB"/>
        </w:rPr>
        <w:t xml:space="preserve">Act I of 2017 on administrative court procedure (‘the Code of Administrative Court Procedure’) </w:t>
      </w:r>
    </w:p>
    <w:p w14:paraId="24903893" w14:textId="6B2BAF62" w:rsidR="008E3370" w:rsidRDefault="008E3370" w:rsidP="00FC0AF3">
      <w:pPr>
        <w:spacing w:after="120"/>
        <w:rPr>
          <w:iCs/>
          <w:noProof/>
          <w:sz w:val="22"/>
          <w:lang w:eastAsia="en-GB"/>
        </w:rPr>
      </w:pPr>
      <w:r w:rsidRPr="008E3370">
        <w:rPr>
          <w:iCs/>
          <w:noProof/>
          <w:sz w:val="22"/>
          <w:lang w:eastAsia="en-GB"/>
        </w:rPr>
        <w:t>Act XC of 2017 on criminal procedure (‘the Criminal Procedure Code’)</w:t>
      </w:r>
    </w:p>
    <w:p w14:paraId="50CCC76F" w14:textId="7E33076D" w:rsidR="0046170B" w:rsidRDefault="0046170B" w:rsidP="00FC0AF3">
      <w:pPr>
        <w:spacing w:after="120"/>
        <w:rPr>
          <w:iCs/>
          <w:noProof/>
          <w:sz w:val="22"/>
          <w:lang w:eastAsia="en-GB"/>
        </w:rPr>
      </w:pPr>
      <w:r w:rsidRPr="0046170B">
        <w:rPr>
          <w:iCs/>
          <w:noProof/>
          <w:sz w:val="22"/>
          <w:lang w:eastAsia="en-GB"/>
        </w:rPr>
        <w:t xml:space="preserve">Act CXXV of 2018 on Government </w:t>
      </w:r>
      <w:r>
        <w:rPr>
          <w:iCs/>
          <w:noProof/>
          <w:sz w:val="22"/>
          <w:lang w:eastAsia="en-GB"/>
        </w:rPr>
        <w:t>a</w:t>
      </w:r>
      <w:r w:rsidRPr="0046170B">
        <w:rPr>
          <w:iCs/>
          <w:noProof/>
          <w:sz w:val="22"/>
          <w:lang w:eastAsia="en-GB"/>
        </w:rPr>
        <w:t>dministration</w:t>
      </w:r>
      <w:r w:rsidR="00505B14">
        <w:rPr>
          <w:iCs/>
          <w:noProof/>
          <w:sz w:val="22"/>
          <w:lang w:eastAsia="en-GB"/>
        </w:rPr>
        <w:t xml:space="preserve"> (‘the </w:t>
      </w:r>
      <w:r w:rsidR="003D1795">
        <w:rPr>
          <w:iCs/>
          <w:noProof/>
          <w:sz w:val="22"/>
          <w:lang w:eastAsia="en-GB"/>
        </w:rPr>
        <w:t>Government Administration Act</w:t>
      </w:r>
      <w:r w:rsidR="00505B14">
        <w:rPr>
          <w:iCs/>
          <w:noProof/>
          <w:sz w:val="22"/>
          <w:lang w:eastAsia="en-GB"/>
        </w:rPr>
        <w:t>’)</w:t>
      </w:r>
    </w:p>
    <w:p w14:paraId="2BD1B338" w14:textId="64770710" w:rsidR="002B0C0F" w:rsidRDefault="002B0C0F" w:rsidP="00FC0AF3">
      <w:pPr>
        <w:spacing w:after="120"/>
        <w:rPr>
          <w:iCs/>
          <w:noProof/>
          <w:sz w:val="22"/>
          <w:lang w:eastAsia="en-GB"/>
        </w:rPr>
      </w:pPr>
      <w:r w:rsidRPr="002B0C0F">
        <w:rPr>
          <w:iCs/>
          <w:noProof/>
          <w:sz w:val="22"/>
          <w:lang w:eastAsia="en-GB"/>
        </w:rPr>
        <w:t xml:space="preserve">Act XXVII of 2022 on the </w:t>
      </w:r>
      <w:r>
        <w:rPr>
          <w:iCs/>
          <w:noProof/>
          <w:sz w:val="22"/>
          <w:lang w:eastAsia="en-GB"/>
        </w:rPr>
        <w:t>c</w:t>
      </w:r>
      <w:r w:rsidRPr="002B0C0F">
        <w:rPr>
          <w:iCs/>
          <w:noProof/>
          <w:sz w:val="22"/>
          <w:lang w:eastAsia="en-GB"/>
        </w:rPr>
        <w:t xml:space="preserve">ontrol of the </w:t>
      </w:r>
      <w:r>
        <w:rPr>
          <w:iCs/>
          <w:noProof/>
          <w:sz w:val="22"/>
          <w:lang w:eastAsia="en-GB"/>
        </w:rPr>
        <w:t>u</w:t>
      </w:r>
      <w:r w:rsidRPr="002B0C0F">
        <w:rPr>
          <w:iCs/>
          <w:noProof/>
          <w:sz w:val="22"/>
          <w:lang w:eastAsia="en-GB"/>
        </w:rPr>
        <w:t xml:space="preserve">se of European Union </w:t>
      </w:r>
      <w:r>
        <w:rPr>
          <w:iCs/>
          <w:noProof/>
          <w:sz w:val="22"/>
          <w:lang w:eastAsia="en-GB"/>
        </w:rPr>
        <w:t>b</w:t>
      </w:r>
      <w:r w:rsidRPr="002B0C0F">
        <w:rPr>
          <w:iCs/>
          <w:noProof/>
          <w:sz w:val="22"/>
          <w:lang w:eastAsia="en-GB"/>
        </w:rPr>
        <w:t xml:space="preserve">udget </w:t>
      </w:r>
      <w:r>
        <w:rPr>
          <w:iCs/>
          <w:noProof/>
          <w:sz w:val="22"/>
          <w:lang w:eastAsia="en-GB"/>
        </w:rPr>
        <w:t>f</w:t>
      </w:r>
      <w:r w:rsidRPr="002B0C0F">
        <w:rPr>
          <w:iCs/>
          <w:noProof/>
          <w:sz w:val="22"/>
          <w:lang w:eastAsia="en-GB"/>
        </w:rPr>
        <w:t xml:space="preserve">unds </w:t>
      </w:r>
      <w:r>
        <w:rPr>
          <w:iCs/>
          <w:noProof/>
          <w:sz w:val="22"/>
          <w:lang w:eastAsia="en-GB"/>
        </w:rPr>
        <w:t>(‘the I</w:t>
      </w:r>
      <w:r w:rsidR="00B7212F">
        <w:rPr>
          <w:iCs/>
          <w:noProof/>
          <w:sz w:val="22"/>
          <w:lang w:eastAsia="en-GB"/>
        </w:rPr>
        <w:t xml:space="preserve">ntegrity </w:t>
      </w:r>
      <w:r>
        <w:rPr>
          <w:iCs/>
          <w:noProof/>
          <w:sz w:val="22"/>
          <w:lang w:eastAsia="en-GB"/>
        </w:rPr>
        <w:t>A</w:t>
      </w:r>
      <w:r w:rsidR="00B7212F">
        <w:rPr>
          <w:iCs/>
          <w:noProof/>
          <w:sz w:val="22"/>
          <w:lang w:eastAsia="en-GB"/>
        </w:rPr>
        <w:t>uthority</w:t>
      </w:r>
      <w:r>
        <w:rPr>
          <w:iCs/>
          <w:noProof/>
          <w:sz w:val="22"/>
          <w:lang w:eastAsia="en-GB"/>
        </w:rPr>
        <w:t xml:space="preserve"> Act’)</w:t>
      </w:r>
    </w:p>
    <w:p w14:paraId="0FB1BD3C" w14:textId="2B48D7EC" w:rsidR="00DC3B15" w:rsidRDefault="00DC3B15" w:rsidP="00FC0AF3">
      <w:pPr>
        <w:spacing w:after="120"/>
        <w:rPr>
          <w:iCs/>
          <w:noProof/>
          <w:sz w:val="22"/>
          <w:lang w:eastAsia="en-GB"/>
        </w:rPr>
      </w:pPr>
      <w:r w:rsidRPr="00DC3B15">
        <w:rPr>
          <w:iCs/>
          <w:noProof/>
          <w:sz w:val="22"/>
          <w:lang w:eastAsia="en-GB"/>
        </w:rPr>
        <w:t>Act XXV of 2023</w:t>
      </w:r>
      <w:r>
        <w:rPr>
          <w:iCs/>
          <w:noProof/>
          <w:sz w:val="22"/>
          <w:lang w:eastAsia="en-GB"/>
        </w:rPr>
        <w:t xml:space="preserve"> </w:t>
      </w:r>
      <w:r w:rsidR="00FB76C0" w:rsidRPr="00FB76C0">
        <w:rPr>
          <w:iCs/>
          <w:noProof/>
          <w:sz w:val="22"/>
          <w:lang w:eastAsia="en-GB"/>
        </w:rPr>
        <w:t xml:space="preserve">on </w:t>
      </w:r>
      <w:r w:rsidR="00E64B11">
        <w:rPr>
          <w:iCs/>
          <w:noProof/>
          <w:sz w:val="22"/>
          <w:lang w:eastAsia="en-GB"/>
        </w:rPr>
        <w:t>c</w:t>
      </w:r>
      <w:r w:rsidR="00FB76C0" w:rsidRPr="00FB76C0">
        <w:rPr>
          <w:iCs/>
          <w:noProof/>
          <w:sz w:val="22"/>
          <w:lang w:eastAsia="en-GB"/>
        </w:rPr>
        <w:t xml:space="preserve">omplaints and </w:t>
      </w:r>
      <w:r w:rsidR="00E64B11">
        <w:rPr>
          <w:iCs/>
          <w:noProof/>
          <w:sz w:val="22"/>
          <w:lang w:eastAsia="en-GB"/>
        </w:rPr>
        <w:t>p</w:t>
      </w:r>
      <w:r w:rsidR="00FB76C0" w:rsidRPr="00FB76C0">
        <w:rPr>
          <w:iCs/>
          <w:noProof/>
          <w:sz w:val="22"/>
          <w:lang w:eastAsia="en-GB"/>
        </w:rPr>
        <w:t xml:space="preserve">ublic </w:t>
      </w:r>
      <w:r w:rsidR="00E64B11">
        <w:rPr>
          <w:iCs/>
          <w:noProof/>
          <w:sz w:val="22"/>
          <w:lang w:eastAsia="en-GB"/>
        </w:rPr>
        <w:t>i</w:t>
      </w:r>
      <w:r w:rsidR="00FB76C0" w:rsidRPr="00FB76C0">
        <w:rPr>
          <w:iCs/>
          <w:noProof/>
          <w:sz w:val="22"/>
          <w:lang w:eastAsia="en-GB"/>
        </w:rPr>
        <w:t xml:space="preserve">nterest </w:t>
      </w:r>
      <w:r w:rsidR="00E64B11">
        <w:rPr>
          <w:iCs/>
          <w:noProof/>
          <w:sz w:val="22"/>
          <w:lang w:eastAsia="en-GB"/>
        </w:rPr>
        <w:t>d</w:t>
      </w:r>
      <w:r w:rsidR="00FB76C0" w:rsidRPr="00FB76C0">
        <w:rPr>
          <w:iCs/>
          <w:noProof/>
          <w:sz w:val="22"/>
          <w:lang w:eastAsia="en-GB"/>
        </w:rPr>
        <w:t xml:space="preserve">isclosures, and on the </w:t>
      </w:r>
      <w:r w:rsidR="00E64B11">
        <w:rPr>
          <w:iCs/>
          <w:noProof/>
          <w:sz w:val="22"/>
          <w:lang w:eastAsia="en-GB"/>
        </w:rPr>
        <w:t>r</w:t>
      </w:r>
      <w:r w:rsidR="00FB76C0" w:rsidRPr="00FB76C0">
        <w:rPr>
          <w:iCs/>
          <w:noProof/>
          <w:sz w:val="22"/>
          <w:lang w:eastAsia="en-GB"/>
        </w:rPr>
        <w:t xml:space="preserve">ules of </w:t>
      </w:r>
      <w:r w:rsidR="00E64B11">
        <w:rPr>
          <w:iCs/>
          <w:noProof/>
          <w:sz w:val="22"/>
          <w:lang w:eastAsia="en-GB"/>
        </w:rPr>
        <w:t>w</w:t>
      </w:r>
      <w:r w:rsidR="00FB76C0" w:rsidRPr="00FB76C0">
        <w:rPr>
          <w:iCs/>
          <w:noProof/>
          <w:sz w:val="22"/>
          <w:lang w:eastAsia="en-GB"/>
        </w:rPr>
        <w:t xml:space="preserve">histleblowing </w:t>
      </w:r>
      <w:r w:rsidR="00E64B11">
        <w:rPr>
          <w:iCs/>
          <w:noProof/>
          <w:sz w:val="22"/>
          <w:lang w:eastAsia="en-GB"/>
        </w:rPr>
        <w:t>n</w:t>
      </w:r>
      <w:r w:rsidR="00FB76C0" w:rsidRPr="00FB76C0">
        <w:rPr>
          <w:iCs/>
          <w:noProof/>
          <w:sz w:val="22"/>
          <w:lang w:eastAsia="en-GB"/>
        </w:rPr>
        <w:t>otifications</w:t>
      </w:r>
      <w:r w:rsidR="00B834B5">
        <w:rPr>
          <w:iCs/>
          <w:noProof/>
          <w:sz w:val="22"/>
          <w:lang w:eastAsia="en-GB"/>
        </w:rPr>
        <w:t xml:space="preserve"> (‘the </w:t>
      </w:r>
      <w:r w:rsidR="00B834B5" w:rsidRPr="00DC3B15">
        <w:rPr>
          <w:iCs/>
          <w:noProof/>
          <w:sz w:val="22"/>
          <w:lang w:eastAsia="en-GB"/>
        </w:rPr>
        <w:t>Whistleblowing Act</w:t>
      </w:r>
      <w:r w:rsidR="00B834B5">
        <w:rPr>
          <w:iCs/>
          <w:noProof/>
          <w:sz w:val="22"/>
          <w:lang w:eastAsia="en-GB"/>
        </w:rPr>
        <w:t>’)</w:t>
      </w:r>
    </w:p>
    <w:p w14:paraId="390094F7" w14:textId="14BFCF7B" w:rsidR="00050B54" w:rsidRDefault="00050B54" w:rsidP="00FC0AF3">
      <w:pPr>
        <w:spacing w:after="120"/>
        <w:rPr>
          <w:iCs/>
          <w:noProof/>
          <w:sz w:val="22"/>
          <w:lang w:eastAsia="en-GB"/>
        </w:rPr>
      </w:pPr>
      <w:r w:rsidRPr="00050B54">
        <w:rPr>
          <w:iCs/>
          <w:noProof/>
          <w:sz w:val="22"/>
          <w:lang w:eastAsia="en-GB"/>
        </w:rPr>
        <w:t>Act LXXXVIII of 2023 on the protection of national sovereignty (‘the Protection of National Sovereignty Law’)</w:t>
      </w:r>
    </w:p>
    <w:p w14:paraId="1F1B73BD" w14:textId="38D75C66" w:rsidR="00626C00" w:rsidRDefault="00626C00" w:rsidP="00FC0AF3">
      <w:pPr>
        <w:spacing w:after="120"/>
        <w:rPr>
          <w:iCs/>
          <w:noProof/>
          <w:sz w:val="22"/>
          <w:lang w:eastAsia="en-GB"/>
        </w:rPr>
      </w:pPr>
      <w:r w:rsidRPr="00626C00">
        <w:rPr>
          <w:iCs/>
          <w:noProof/>
          <w:sz w:val="22"/>
          <w:lang w:eastAsia="en-GB"/>
        </w:rPr>
        <w:t>Act XLIX of 2025 on the amendment of laws related to judicial matters</w:t>
      </w:r>
    </w:p>
    <w:p w14:paraId="64E37621" w14:textId="1FE71943" w:rsidR="00C70687" w:rsidRDefault="00C70687" w:rsidP="00FC0AF3">
      <w:pPr>
        <w:spacing w:after="120"/>
        <w:rPr>
          <w:iCs/>
          <w:noProof/>
          <w:sz w:val="22"/>
          <w:lang w:eastAsia="en-GB"/>
        </w:rPr>
      </w:pPr>
      <w:r w:rsidRPr="00C70687">
        <w:rPr>
          <w:iCs/>
          <w:noProof/>
          <w:sz w:val="22"/>
          <w:lang w:eastAsia="en-GB"/>
        </w:rPr>
        <w:t>Act C of 2025 amending laws affecting the financial intermediary system</w:t>
      </w:r>
    </w:p>
    <w:p w14:paraId="550D4FF9" w14:textId="76638C4E" w:rsidR="00656C91" w:rsidRPr="00DC3B15" w:rsidRDefault="00656C91" w:rsidP="00FC0AF3">
      <w:pPr>
        <w:spacing w:after="120"/>
        <w:rPr>
          <w:iCs/>
          <w:noProof/>
          <w:sz w:val="22"/>
          <w:lang w:eastAsia="en-GB"/>
        </w:rPr>
      </w:pPr>
      <w:r w:rsidRPr="00656C91">
        <w:rPr>
          <w:iCs/>
          <w:noProof/>
          <w:sz w:val="22"/>
          <w:lang w:eastAsia="en-GB"/>
        </w:rPr>
        <w:t>Act XVIII of 2026 on the amendment of certain Acts necessary for accessing European Union funds</w:t>
      </w:r>
      <w:r>
        <w:rPr>
          <w:iCs/>
          <w:noProof/>
          <w:sz w:val="22"/>
          <w:lang w:eastAsia="en-GB"/>
        </w:rPr>
        <w:t xml:space="preserve"> (‘the omnibus law of June 2026’)</w:t>
      </w:r>
    </w:p>
    <w:p w14:paraId="15F86570" w14:textId="77777777" w:rsidR="00FC0AF3" w:rsidRPr="006536D8" w:rsidRDefault="00FC0AF3" w:rsidP="00FC0AF3">
      <w:pPr>
        <w:pageBreakBefore/>
        <w:spacing w:after="120" w:line="264" w:lineRule="auto"/>
        <w:rPr>
          <w:b/>
          <w:bCs/>
          <w:noProof/>
          <w:lang w:eastAsia="en-GB"/>
        </w:rPr>
      </w:pPr>
      <w:r w:rsidRPr="006536D8">
        <w:rPr>
          <w:b/>
          <w:bCs/>
          <w:noProof/>
          <w:lang w:eastAsia="en-GB"/>
        </w:rPr>
        <w:t>Annex II: Country visit to Hungary</w:t>
      </w:r>
    </w:p>
    <w:p w14:paraId="755835B4" w14:textId="77777777" w:rsidR="00FC0AF3" w:rsidRPr="006536D8" w:rsidRDefault="00FC0AF3" w:rsidP="00FC0AF3">
      <w:pPr>
        <w:spacing w:after="120" w:line="264" w:lineRule="auto"/>
        <w:rPr>
          <w:noProof/>
          <w:shd w:val="clear" w:color="auto" w:fill="FFFFFF"/>
          <w:lang w:eastAsia="en-GB"/>
        </w:rPr>
      </w:pPr>
      <w:r w:rsidRPr="006536D8">
        <w:rPr>
          <w:noProof/>
          <w:lang w:eastAsia="en-GB"/>
        </w:rPr>
        <w:t>The Commission services held virtual meetings in February 2026 with:</w:t>
      </w:r>
    </w:p>
    <w:p w14:paraId="54112730" w14:textId="77777777" w:rsidR="00FC0AF3" w:rsidRPr="0023350E"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Amnesty International Hungary </w:t>
      </w:r>
    </w:p>
    <w:p w14:paraId="31192C63" w14:textId="77777777" w:rsidR="00FC0AF3" w:rsidRPr="00E63180" w:rsidRDefault="00FC0AF3" w:rsidP="00FC0AF3">
      <w:pPr>
        <w:numPr>
          <w:ilvl w:val="0"/>
          <w:numId w:val="21"/>
        </w:numPr>
        <w:spacing w:after="0" w:line="256" w:lineRule="auto"/>
        <w:ind w:left="714" w:hanging="357"/>
        <w:contextualSpacing/>
        <w:rPr>
          <w:i/>
          <w:iCs/>
          <w:noProof/>
          <w:szCs w:val="24"/>
          <w:shd w:val="clear" w:color="auto" w:fill="FFFFFF"/>
        </w:rPr>
      </w:pPr>
      <w:r w:rsidRPr="00E63180">
        <w:rPr>
          <w:i/>
          <w:iCs/>
          <w:noProof/>
          <w:szCs w:val="24"/>
          <w:bdr w:val="none" w:sz="0" w:space="0" w:color="auto" w:frame="1"/>
        </w:rPr>
        <w:t>Átlátszó</w:t>
      </w:r>
    </w:p>
    <w:p w14:paraId="2DC8A48A" w14:textId="77777777" w:rsidR="00FC0AF3" w:rsidRPr="0023350E"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Buda Central District Court  </w:t>
      </w:r>
    </w:p>
    <w:p w14:paraId="055CFC0E" w14:textId="77777777" w:rsidR="00FC0AF3" w:rsidRPr="00E63180"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Corruption Research Center Budapest  </w:t>
      </w:r>
    </w:p>
    <w:p w14:paraId="5B3E6838" w14:textId="77777777" w:rsidR="00FC0AF3" w:rsidRPr="00E63180"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Hungarian Association of Journalists </w:t>
      </w:r>
      <w:r w:rsidRPr="00D35DD8">
        <w:rPr>
          <w:i/>
          <w:iCs/>
          <w:noProof/>
          <w:szCs w:val="24"/>
          <w:bdr w:val="none" w:sz="0" w:space="0" w:color="auto" w:frame="1"/>
        </w:rPr>
        <w:t>(MÚOSZ)</w:t>
      </w:r>
      <w:r w:rsidRPr="0023350E">
        <w:rPr>
          <w:noProof/>
          <w:szCs w:val="24"/>
          <w:bdr w:val="none" w:sz="0" w:space="0" w:color="auto" w:frame="1"/>
        </w:rPr>
        <w:t xml:space="preserve">  </w:t>
      </w:r>
    </w:p>
    <w:p w14:paraId="043122F6" w14:textId="77777777" w:rsidR="00FC0AF3" w:rsidRPr="00D35DD8"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Hungarian Association of Judges </w:t>
      </w:r>
      <w:r w:rsidRPr="00D35DD8">
        <w:rPr>
          <w:i/>
          <w:iCs/>
          <w:noProof/>
          <w:szCs w:val="24"/>
          <w:bdr w:val="none" w:sz="0" w:space="0" w:color="auto" w:frame="1"/>
        </w:rPr>
        <w:t>(MABIE)</w:t>
      </w:r>
    </w:p>
    <w:p w14:paraId="6C16D915" w14:textId="77777777" w:rsidR="00FC0AF3" w:rsidRPr="00D35DD8"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Hungarian Bar Association </w:t>
      </w:r>
      <w:r w:rsidRPr="00D35DD8">
        <w:rPr>
          <w:i/>
          <w:iCs/>
          <w:noProof/>
          <w:szCs w:val="24"/>
          <w:bdr w:val="none" w:sz="0" w:space="0" w:color="auto" w:frame="1"/>
        </w:rPr>
        <w:t>(MÜK)</w:t>
      </w:r>
      <w:r w:rsidRPr="0023350E">
        <w:rPr>
          <w:noProof/>
          <w:szCs w:val="24"/>
          <w:bdr w:val="none" w:sz="0" w:space="0" w:color="auto" w:frame="1"/>
        </w:rPr>
        <w:t xml:space="preserve">  </w:t>
      </w:r>
    </w:p>
    <w:p w14:paraId="4392F0CA" w14:textId="77777777" w:rsidR="00FC0AF3" w:rsidRPr="00D35DD8"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Hungarian Civil Liberties Union </w:t>
      </w:r>
      <w:r w:rsidRPr="00D35DD8">
        <w:rPr>
          <w:i/>
          <w:iCs/>
          <w:noProof/>
          <w:szCs w:val="24"/>
          <w:bdr w:val="none" w:sz="0" w:space="0" w:color="auto" w:frame="1"/>
        </w:rPr>
        <w:t>(TASZ)</w:t>
      </w:r>
      <w:r w:rsidRPr="0023350E">
        <w:rPr>
          <w:noProof/>
          <w:szCs w:val="24"/>
          <w:bdr w:val="none" w:sz="0" w:space="0" w:color="auto" w:frame="1"/>
        </w:rPr>
        <w:t xml:space="preserve">  </w:t>
      </w:r>
    </w:p>
    <w:p w14:paraId="772C6074" w14:textId="77777777" w:rsidR="00FC0AF3" w:rsidRPr="00D35DD8"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Hungarian Helsinki Committee  </w:t>
      </w:r>
    </w:p>
    <w:p w14:paraId="7C7D31A1" w14:textId="11746646" w:rsidR="00FC0AF3" w:rsidRPr="00C3642D"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Integrity</w:t>
      </w:r>
      <w:r w:rsidR="001B530E">
        <w:rPr>
          <w:noProof/>
          <w:szCs w:val="24"/>
          <w:bdr w:val="none" w:sz="0" w:space="0" w:color="auto" w:frame="1"/>
        </w:rPr>
        <w:t xml:space="preserve"> </w:t>
      </w:r>
      <w:r w:rsidRPr="0023350E">
        <w:rPr>
          <w:noProof/>
          <w:szCs w:val="24"/>
          <w:bdr w:val="none" w:sz="0" w:space="0" w:color="auto" w:frame="1"/>
        </w:rPr>
        <w:t xml:space="preserve">Authority  </w:t>
      </w:r>
    </w:p>
    <w:p w14:paraId="69E5F87A" w14:textId="77777777" w:rsidR="00FC0AF3" w:rsidRPr="00C3642D"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K-Monitor</w:t>
      </w:r>
      <w:r>
        <w:rPr>
          <w:noProof/>
          <w:szCs w:val="24"/>
          <w:bdr w:val="none" w:sz="0" w:space="0" w:color="auto" w:frame="1"/>
        </w:rPr>
        <w:t xml:space="preserve"> </w:t>
      </w:r>
    </w:p>
    <w:p w14:paraId="367A5E6D" w14:textId="77777777" w:rsidR="00FC0AF3" w:rsidRPr="00372DAC" w:rsidRDefault="00FC0AF3" w:rsidP="00FC0AF3">
      <w:pPr>
        <w:numPr>
          <w:ilvl w:val="0"/>
          <w:numId w:val="21"/>
        </w:numPr>
        <w:spacing w:after="0" w:line="256" w:lineRule="auto"/>
        <w:ind w:left="714" w:hanging="357"/>
        <w:contextualSpacing/>
        <w:rPr>
          <w:noProof/>
          <w:szCs w:val="24"/>
          <w:shd w:val="clear" w:color="auto" w:fill="FFFFFF"/>
        </w:rPr>
      </w:pPr>
      <w:r>
        <w:rPr>
          <w:noProof/>
          <w:szCs w:val="24"/>
          <w:shd w:val="clear" w:color="auto" w:fill="FFFFFF"/>
        </w:rPr>
        <w:t>Mathias Corvinus Collegium</w:t>
      </w:r>
    </w:p>
    <w:p w14:paraId="0F8549FA" w14:textId="77777777" w:rsidR="00FC0AF3" w:rsidRPr="00C3642D"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Mérték Media Monitor</w:t>
      </w:r>
    </w:p>
    <w:p w14:paraId="0773AF26" w14:textId="77777777" w:rsidR="00FC0AF3" w:rsidRPr="00C3642D"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Ministry for European Affairs</w:t>
      </w:r>
    </w:p>
    <w:p w14:paraId="7C130889" w14:textId="77777777" w:rsidR="00FC0AF3" w:rsidRPr="00C3642D"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Ministry of Finance</w:t>
      </w:r>
    </w:p>
    <w:p w14:paraId="013B77C5" w14:textId="77777777" w:rsidR="00FC0AF3" w:rsidRPr="00C3642D"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Ministry of Interior</w:t>
      </w:r>
    </w:p>
    <w:p w14:paraId="616E67C1" w14:textId="77777777" w:rsidR="00FC0AF3" w:rsidRPr="00C3642D"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Ministry of Justice</w:t>
      </w:r>
    </w:p>
    <w:p w14:paraId="638F30E0" w14:textId="77777777" w:rsidR="00FC0AF3" w:rsidRPr="00C3642D"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National Assembly </w:t>
      </w:r>
      <w:r w:rsidRPr="00C3642D">
        <w:rPr>
          <w:i/>
          <w:iCs/>
          <w:noProof/>
          <w:szCs w:val="24"/>
          <w:bdr w:val="none" w:sz="0" w:space="0" w:color="auto" w:frame="1"/>
        </w:rPr>
        <w:t>(Országgyűlés)</w:t>
      </w:r>
      <w:r w:rsidRPr="0023350E">
        <w:rPr>
          <w:noProof/>
          <w:szCs w:val="24"/>
          <w:bdr w:val="none" w:sz="0" w:space="0" w:color="auto" w:frame="1"/>
        </w:rPr>
        <w:t xml:space="preserve">  </w:t>
      </w:r>
    </w:p>
    <w:p w14:paraId="0752FDE9" w14:textId="77777777" w:rsidR="00FC0AF3" w:rsidRPr="00C3642D"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National Data Protection and Freedom of Information Authority </w:t>
      </w:r>
      <w:r w:rsidRPr="00C3642D">
        <w:rPr>
          <w:i/>
          <w:iCs/>
          <w:noProof/>
          <w:szCs w:val="24"/>
          <w:bdr w:val="none" w:sz="0" w:space="0" w:color="auto" w:frame="1"/>
        </w:rPr>
        <w:t>(NAIH)</w:t>
      </w:r>
      <w:r w:rsidRPr="0023350E">
        <w:rPr>
          <w:noProof/>
          <w:szCs w:val="24"/>
          <w:bdr w:val="none" w:sz="0" w:space="0" w:color="auto" w:frame="1"/>
        </w:rPr>
        <w:t xml:space="preserve">  </w:t>
      </w:r>
    </w:p>
    <w:p w14:paraId="15E382C7" w14:textId="77777777" w:rsidR="00FC0AF3" w:rsidRPr="00C3642D"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National Judicial Council </w:t>
      </w:r>
      <w:r w:rsidRPr="00C3642D">
        <w:rPr>
          <w:i/>
          <w:iCs/>
          <w:noProof/>
          <w:szCs w:val="24"/>
          <w:bdr w:val="none" w:sz="0" w:space="0" w:color="auto" w:frame="1"/>
        </w:rPr>
        <w:t>(OBT)</w:t>
      </w:r>
      <w:r w:rsidRPr="0023350E">
        <w:rPr>
          <w:noProof/>
          <w:szCs w:val="24"/>
          <w:bdr w:val="none" w:sz="0" w:space="0" w:color="auto" w:frame="1"/>
        </w:rPr>
        <w:t xml:space="preserve"> </w:t>
      </w:r>
    </w:p>
    <w:p w14:paraId="541CC96F" w14:textId="77777777" w:rsidR="00FC0AF3" w:rsidRPr="00372DAC"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National Office for the Judiciary </w:t>
      </w:r>
      <w:r w:rsidRPr="00C3642D">
        <w:rPr>
          <w:i/>
          <w:iCs/>
          <w:noProof/>
          <w:szCs w:val="24"/>
          <w:bdr w:val="none" w:sz="0" w:space="0" w:color="auto" w:frame="1"/>
        </w:rPr>
        <w:t>(OBH)</w:t>
      </w:r>
      <w:r w:rsidRPr="0023350E">
        <w:rPr>
          <w:noProof/>
          <w:szCs w:val="24"/>
          <w:bdr w:val="none" w:sz="0" w:space="0" w:color="auto" w:frame="1"/>
        </w:rPr>
        <w:t xml:space="preserve"> </w:t>
      </w:r>
    </w:p>
    <w:p w14:paraId="6F68898D" w14:textId="77777777" w:rsidR="00FC0AF3" w:rsidRPr="00372DAC"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Office of the Commissioner for Fundamental Rights  </w:t>
      </w:r>
    </w:p>
    <w:p w14:paraId="1871EB73" w14:textId="77777777" w:rsidR="00FC0AF3" w:rsidRPr="00372DAC"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Prosecution Service of Hungary  </w:t>
      </w:r>
    </w:p>
    <w:p w14:paraId="65624CC1" w14:textId="77777777" w:rsidR="00FC0AF3" w:rsidRPr="00372DAC"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Res Iudicata - Judges for Social Awareness Association </w:t>
      </w:r>
    </w:p>
    <w:p w14:paraId="072767E0" w14:textId="77777777" w:rsidR="00FC0AF3" w:rsidRPr="00372DAC"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 xml:space="preserve">State Audit Office </w:t>
      </w:r>
      <w:r w:rsidRPr="00372DAC">
        <w:rPr>
          <w:i/>
          <w:iCs/>
          <w:noProof/>
          <w:szCs w:val="24"/>
          <w:bdr w:val="none" w:sz="0" w:space="0" w:color="auto" w:frame="1"/>
        </w:rPr>
        <w:t>(Állami Számvevőszék)</w:t>
      </w:r>
      <w:r w:rsidRPr="0023350E">
        <w:rPr>
          <w:noProof/>
          <w:szCs w:val="24"/>
          <w:bdr w:val="none" w:sz="0" w:space="0" w:color="auto" w:frame="1"/>
        </w:rPr>
        <w:t xml:space="preserve"> </w:t>
      </w:r>
    </w:p>
    <w:p w14:paraId="0DC8B519" w14:textId="77777777" w:rsidR="00FC0AF3" w:rsidRPr="006536D8" w:rsidRDefault="00FC0AF3" w:rsidP="00FC0AF3">
      <w:pPr>
        <w:numPr>
          <w:ilvl w:val="0"/>
          <w:numId w:val="21"/>
        </w:numPr>
        <w:spacing w:after="0" w:line="256" w:lineRule="auto"/>
        <w:ind w:left="714" w:hanging="357"/>
        <w:contextualSpacing/>
        <w:rPr>
          <w:noProof/>
          <w:szCs w:val="24"/>
          <w:shd w:val="clear" w:color="auto" w:fill="FFFFFF"/>
        </w:rPr>
      </w:pPr>
      <w:r w:rsidRPr="0023350E">
        <w:rPr>
          <w:noProof/>
          <w:szCs w:val="24"/>
          <w:bdr w:val="none" w:sz="0" w:space="0" w:color="auto" w:frame="1"/>
        </w:rPr>
        <w:t>Transparency International Hungary</w:t>
      </w:r>
    </w:p>
    <w:p w14:paraId="67D846D0" w14:textId="77777777" w:rsidR="00FC0AF3" w:rsidRPr="006536D8" w:rsidRDefault="00FC0AF3" w:rsidP="00FC0AF3">
      <w:pPr>
        <w:spacing w:after="120" w:line="264" w:lineRule="auto"/>
        <w:rPr>
          <w:noProof/>
          <w:shd w:val="clear" w:color="auto" w:fill="FFFFFF"/>
          <w:lang w:eastAsia="en-GB"/>
        </w:rPr>
      </w:pPr>
    </w:p>
    <w:p w14:paraId="6F218562" w14:textId="77777777" w:rsidR="00FC0AF3" w:rsidRPr="006536D8" w:rsidRDefault="00FC0AF3" w:rsidP="00FC0AF3">
      <w:pPr>
        <w:spacing w:after="120" w:line="264" w:lineRule="auto"/>
        <w:rPr>
          <w:noProof/>
          <w:lang w:eastAsia="en-GB"/>
        </w:rPr>
      </w:pPr>
      <w:r w:rsidRPr="006536D8">
        <w:rPr>
          <w:noProof/>
          <w:lang w:eastAsia="en-GB"/>
        </w:rPr>
        <w:t xml:space="preserve">* The Commission also met the following organisations in a number of horizontal meetings: </w:t>
      </w:r>
    </w:p>
    <w:p w14:paraId="7406E90C" w14:textId="77777777" w:rsidR="00FC0AF3" w:rsidRPr="0027343B" w:rsidRDefault="00FC0AF3" w:rsidP="00FC0AF3">
      <w:pPr>
        <w:numPr>
          <w:ilvl w:val="0"/>
          <w:numId w:val="22"/>
        </w:numPr>
        <w:spacing w:after="0" w:line="264" w:lineRule="auto"/>
        <w:rPr>
          <w:noProof/>
          <w:lang w:val="en-IE" w:eastAsia="en-GB"/>
        </w:rPr>
      </w:pPr>
      <w:r w:rsidRPr="0027343B">
        <w:rPr>
          <w:noProof/>
          <w:lang w:val="en-IE" w:eastAsia="en-GB"/>
        </w:rPr>
        <w:t>Civil Liberties Union for Europe</w:t>
      </w:r>
    </w:p>
    <w:p w14:paraId="482779A7" w14:textId="77777777" w:rsidR="00FC0AF3" w:rsidRPr="0027343B" w:rsidRDefault="00FC0AF3" w:rsidP="00FC0AF3">
      <w:pPr>
        <w:numPr>
          <w:ilvl w:val="0"/>
          <w:numId w:val="22"/>
        </w:numPr>
        <w:spacing w:after="0" w:line="264" w:lineRule="auto"/>
        <w:rPr>
          <w:noProof/>
          <w:lang w:val="en-IE" w:eastAsia="en-GB"/>
        </w:rPr>
      </w:pPr>
      <w:r w:rsidRPr="0027343B">
        <w:rPr>
          <w:noProof/>
          <w:lang w:val="en-IE" w:eastAsia="en-GB"/>
        </w:rPr>
        <w:t>Civil Society Europe</w:t>
      </w:r>
    </w:p>
    <w:p w14:paraId="2D72E518" w14:textId="77777777" w:rsidR="00FC0AF3" w:rsidRPr="0027343B" w:rsidRDefault="00FC0AF3" w:rsidP="00FC0AF3">
      <w:pPr>
        <w:numPr>
          <w:ilvl w:val="0"/>
          <w:numId w:val="22"/>
        </w:numPr>
        <w:spacing w:after="0" w:line="264" w:lineRule="auto"/>
        <w:rPr>
          <w:noProof/>
          <w:lang w:val="en-IE" w:eastAsia="en-GB"/>
        </w:rPr>
      </w:pPr>
      <w:r w:rsidRPr="0027343B">
        <w:rPr>
          <w:noProof/>
          <w:lang w:val="en-IE" w:eastAsia="en-GB"/>
        </w:rPr>
        <w:t>End FGM EU</w:t>
      </w:r>
    </w:p>
    <w:p w14:paraId="2BCB9300" w14:textId="77777777" w:rsidR="00FC0AF3" w:rsidRPr="0027343B" w:rsidRDefault="00FC0AF3" w:rsidP="00FC0AF3">
      <w:pPr>
        <w:numPr>
          <w:ilvl w:val="0"/>
          <w:numId w:val="22"/>
        </w:numPr>
        <w:spacing w:after="0" w:line="264" w:lineRule="auto"/>
        <w:rPr>
          <w:noProof/>
          <w:lang w:val="en-IE" w:eastAsia="en-GB"/>
        </w:rPr>
      </w:pPr>
      <w:r w:rsidRPr="0027343B">
        <w:rPr>
          <w:noProof/>
          <w:lang w:val="en-IE" w:eastAsia="en-GB"/>
        </w:rPr>
        <w:t>European Civic Forum</w:t>
      </w:r>
    </w:p>
    <w:p w14:paraId="3BD33334" w14:textId="77777777" w:rsidR="00FC0AF3" w:rsidRPr="0027343B" w:rsidRDefault="00FC0AF3" w:rsidP="00FC0AF3">
      <w:pPr>
        <w:numPr>
          <w:ilvl w:val="0"/>
          <w:numId w:val="22"/>
        </w:numPr>
        <w:spacing w:after="0" w:line="264" w:lineRule="auto"/>
        <w:rPr>
          <w:noProof/>
          <w:lang w:val="en-IE" w:eastAsia="en-GB"/>
        </w:rPr>
      </w:pPr>
      <w:r w:rsidRPr="0027343B">
        <w:rPr>
          <w:noProof/>
          <w:lang w:val="en-IE" w:eastAsia="en-GB"/>
        </w:rPr>
        <w:t>European Partnership for Democracy</w:t>
      </w:r>
    </w:p>
    <w:p w14:paraId="30602151" w14:textId="77777777" w:rsidR="00FC0AF3" w:rsidRPr="0027343B" w:rsidRDefault="00FC0AF3" w:rsidP="00FC0AF3">
      <w:pPr>
        <w:numPr>
          <w:ilvl w:val="0"/>
          <w:numId w:val="22"/>
        </w:numPr>
        <w:spacing w:after="0" w:line="264" w:lineRule="auto"/>
        <w:rPr>
          <w:noProof/>
          <w:lang w:val="en-IE" w:eastAsia="en-GB"/>
        </w:rPr>
      </w:pPr>
      <w:r w:rsidRPr="0027343B">
        <w:rPr>
          <w:noProof/>
          <w:lang w:val="en-IE" w:eastAsia="en-GB"/>
        </w:rPr>
        <w:t>Human Rights Watch</w:t>
      </w:r>
    </w:p>
    <w:p w14:paraId="72EAE894" w14:textId="77777777" w:rsidR="00FC0AF3" w:rsidRPr="0027343B" w:rsidRDefault="00FC0AF3" w:rsidP="00FC0AF3">
      <w:pPr>
        <w:numPr>
          <w:ilvl w:val="0"/>
          <w:numId w:val="22"/>
        </w:numPr>
        <w:spacing w:after="0" w:line="264" w:lineRule="auto"/>
        <w:rPr>
          <w:noProof/>
          <w:lang w:val="en-IE" w:eastAsia="en-GB"/>
        </w:rPr>
      </w:pPr>
      <w:r w:rsidRPr="0027343B">
        <w:rPr>
          <w:noProof/>
          <w:lang w:val="en-IE" w:eastAsia="en-GB"/>
        </w:rPr>
        <w:t>ILGA-Europe</w:t>
      </w:r>
    </w:p>
    <w:p w14:paraId="38E972E6" w14:textId="77777777" w:rsidR="00FC0AF3" w:rsidRPr="0027343B" w:rsidRDefault="00FC0AF3" w:rsidP="00FC0AF3">
      <w:pPr>
        <w:numPr>
          <w:ilvl w:val="0"/>
          <w:numId w:val="22"/>
        </w:numPr>
        <w:spacing w:after="0" w:line="264" w:lineRule="auto"/>
        <w:rPr>
          <w:noProof/>
          <w:lang w:val="en-IE" w:eastAsia="en-GB"/>
        </w:rPr>
      </w:pPr>
      <w:r w:rsidRPr="0027343B">
        <w:rPr>
          <w:noProof/>
          <w:lang w:val="en-IE" w:eastAsia="en-GB"/>
        </w:rPr>
        <w:t>International Federation for Human Rights</w:t>
      </w:r>
    </w:p>
    <w:p w14:paraId="6EE9A237" w14:textId="77777777" w:rsidR="00FC0AF3" w:rsidRPr="0027343B" w:rsidRDefault="00FC0AF3" w:rsidP="00FC0AF3">
      <w:pPr>
        <w:numPr>
          <w:ilvl w:val="0"/>
          <w:numId w:val="22"/>
        </w:numPr>
        <w:spacing w:after="0" w:line="264" w:lineRule="auto"/>
        <w:rPr>
          <w:noProof/>
          <w:lang w:val="en-IE" w:eastAsia="en-GB"/>
        </w:rPr>
      </w:pPr>
      <w:r w:rsidRPr="0027343B">
        <w:rPr>
          <w:noProof/>
          <w:lang w:val="en-IE" w:eastAsia="en-GB"/>
        </w:rPr>
        <w:t>Philea - Philanthropy Europe Association</w:t>
      </w:r>
    </w:p>
    <w:p w14:paraId="14010ED2" w14:textId="77777777" w:rsidR="00FC0AF3" w:rsidRPr="0027343B" w:rsidRDefault="00FC0AF3" w:rsidP="00FC0AF3">
      <w:pPr>
        <w:numPr>
          <w:ilvl w:val="0"/>
          <w:numId w:val="22"/>
        </w:numPr>
        <w:spacing w:after="0" w:line="264" w:lineRule="auto"/>
        <w:rPr>
          <w:noProof/>
          <w:lang w:val="en-IE" w:eastAsia="en-GB"/>
        </w:rPr>
      </w:pPr>
      <w:r w:rsidRPr="0027343B">
        <w:rPr>
          <w:noProof/>
          <w:lang w:val="en-IE" w:eastAsia="en-GB"/>
        </w:rPr>
        <w:t>Transparency International EU</w:t>
      </w:r>
    </w:p>
    <w:p w14:paraId="07A24511" w14:textId="77777777" w:rsidR="00FC0AF3" w:rsidRPr="006536D8" w:rsidRDefault="00FC0AF3" w:rsidP="00FC0AF3">
      <w:pPr>
        <w:spacing w:after="0" w:line="264" w:lineRule="auto"/>
        <w:rPr>
          <w:noProof/>
          <w:lang w:eastAsia="en-GB"/>
        </w:rPr>
      </w:pPr>
    </w:p>
    <w:p w14:paraId="7C71BB12" w14:textId="77777777" w:rsidR="00CD604B" w:rsidRDefault="00CD604B" w:rsidP="00B51782">
      <w:pPr>
        <w:rPr>
          <w:noProof/>
        </w:rPr>
      </w:pPr>
    </w:p>
    <w:sectPr w:rsidR="00CD604B" w:rsidSect="00FC0AF3">
      <w:headerReference w:type="even" r:id="rId67"/>
      <w:headerReference w:type="default" r:id="rId68"/>
      <w:footerReference w:type="even" r:id="rId69"/>
      <w:footerReference w:type="default" r:id="rId70"/>
      <w:headerReference w:type="first" r:id="rId71"/>
      <w:footerReference w:type="first" r:id="rId72"/>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EB8FE5" w14:textId="77777777" w:rsidR="00F55679" w:rsidRDefault="00F55679">
      <w:pPr>
        <w:spacing w:after="0"/>
      </w:pPr>
      <w:r>
        <w:separator/>
      </w:r>
    </w:p>
  </w:endnote>
  <w:endnote w:type="continuationSeparator" w:id="0">
    <w:p w14:paraId="5AD3EDAE" w14:textId="77777777" w:rsidR="00F55679" w:rsidRDefault="00F5567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EC Square Sans Pro">
    <w:charset w:val="00"/>
    <w:family w:val="swiss"/>
    <w:pitch w:val="variable"/>
    <w:sig w:usb0="2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11F4A" w14:textId="01C2A2C6" w:rsidR="004F21AA" w:rsidRPr="004F21AA" w:rsidRDefault="004F21AA" w:rsidP="004F21AA">
    <w:pPr>
      <w:pStyle w:val="FooterCoverPage"/>
      <w:rPr>
        <w:rFonts w:ascii="Arial" w:hAnsi="Arial" w:cs="Arial"/>
        <w:b/>
        <w:sz w:val="48"/>
      </w:rPr>
    </w:pPr>
    <w:r w:rsidRPr="004F21AA">
      <w:rPr>
        <w:rFonts w:ascii="Arial" w:hAnsi="Arial" w:cs="Arial"/>
        <w:b/>
        <w:sz w:val="48"/>
      </w:rPr>
      <w:t>EN</w:t>
    </w:r>
    <w:r w:rsidRPr="004F21AA">
      <w:rPr>
        <w:rFonts w:ascii="Arial" w:hAnsi="Arial" w:cs="Arial"/>
        <w:b/>
        <w:sz w:val="48"/>
      </w:rPr>
      <w:tab/>
    </w:r>
    <w:r w:rsidRPr="004F21AA">
      <w:rPr>
        <w:rFonts w:ascii="Arial" w:hAnsi="Arial" w:cs="Arial"/>
        <w:b/>
        <w:sz w:val="48"/>
      </w:rPr>
      <w:tab/>
    </w:r>
    <w:r w:rsidRPr="004F21AA">
      <w:tab/>
    </w:r>
    <w:r w:rsidRPr="004F21A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347AD" w14:textId="39C53BEE" w:rsidR="004F21AA" w:rsidRPr="004F21AA" w:rsidRDefault="004F21AA" w:rsidP="004F21AA">
    <w:pPr>
      <w:pStyle w:val="FooterCoverPage"/>
      <w:rPr>
        <w:rFonts w:ascii="Arial" w:hAnsi="Arial" w:cs="Arial"/>
        <w:b/>
        <w:sz w:val="48"/>
      </w:rPr>
    </w:pPr>
    <w:r w:rsidRPr="004F21AA">
      <w:rPr>
        <w:rFonts w:ascii="Arial" w:hAnsi="Arial" w:cs="Arial"/>
        <w:b/>
        <w:sz w:val="48"/>
      </w:rPr>
      <w:t>EN</w:t>
    </w:r>
    <w:r w:rsidRPr="004F21AA">
      <w:rPr>
        <w:rFonts w:ascii="Arial" w:hAnsi="Arial" w:cs="Arial"/>
        <w:b/>
        <w:sz w:val="48"/>
      </w:rPr>
      <w:tab/>
    </w:r>
    <w:r w:rsidRPr="004F21AA">
      <w:rPr>
        <w:rFonts w:ascii="Arial" w:hAnsi="Arial" w:cs="Arial"/>
        <w:b/>
        <w:sz w:val="48"/>
      </w:rPr>
      <w:tab/>
    </w:r>
    <w:r w:rsidRPr="004F21AA">
      <w:tab/>
    </w:r>
    <w:r w:rsidRPr="004F21A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AFA31" w14:textId="77777777" w:rsidR="004F21AA" w:rsidRPr="004F21AA" w:rsidRDefault="004F21AA" w:rsidP="004F21A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92500" w14:textId="77777777" w:rsidR="00FC0AF3" w:rsidRDefault="00FC0AF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sz w:val="24"/>
        <w:szCs w:val="24"/>
      </w:rPr>
    </w:sdtEndPr>
    <w:sdtContent>
      <w:p w14:paraId="4FFEE7B2" w14:textId="0F638293" w:rsidR="00FC0AF3" w:rsidRPr="00FC0AF3" w:rsidRDefault="00FC0AF3">
        <w:pPr>
          <w:pStyle w:val="Footer"/>
          <w:jc w:val="center"/>
          <w:rPr>
            <w:sz w:val="24"/>
            <w:szCs w:val="24"/>
          </w:rPr>
        </w:pPr>
        <w:r w:rsidRPr="00FC0AF3">
          <w:rPr>
            <w:sz w:val="24"/>
            <w:szCs w:val="24"/>
          </w:rPr>
          <w:fldChar w:fldCharType="begin"/>
        </w:r>
        <w:r w:rsidRPr="00FC0AF3">
          <w:rPr>
            <w:sz w:val="24"/>
            <w:szCs w:val="24"/>
          </w:rPr>
          <w:instrText xml:space="preserve"> PAGE   \* MERGEFORMAT </w:instrText>
        </w:r>
        <w:r w:rsidRPr="00FC0AF3">
          <w:rPr>
            <w:sz w:val="24"/>
            <w:szCs w:val="24"/>
          </w:rPr>
          <w:fldChar w:fldCharType="separate"/>
        </w:r>
        <w:r w:rsidR="004F21AA">
          <w:rPr>
            <w:noProof/>
            <w:sz w:val="24"/>
            <w:szCs w:val="24"/>
          </w:rPr>
          <w:t>1</w:t>
        </w:r>
        <w:r w:rsidRPr="00FC0AF3">
          <w:rPr>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sdtContent>
      <w:p w14:paraId="5B57AE7B" w14:textId="77777777" w:rsidR="00FC0AF3" w:rsidRPr="006536D8" w:rsidRDefault="00FC0AF3">
        <w:pPr>
          <w:pStyle w:val="Footer"/>
          <w:jc w:val="center"/>
        </w:pPr>
      </w:p>
      <w:p w14:paraId="4DCD9DCF" w14:textId="77777777" w:rsidR="00FC0AF3" w:rsidRPr="006536D8" w:rsidRDefault="00FC0AF3">
        <w:pPr>
          <w:pStyle w:val="Footer"/>
          <w:jc w:val="center"/>
        </w:pPr>
      </w:p>
      <w:p w14:paraId="642BDD52" w14:textId="77777777" w:rsidR="00FC0AF3" w:rsidRPr="006536D8" w:rsidRDefault="00FC0AF3">
        <w:pPr>
          <w:pStyle w:val="Footer"/>
          <w:jc w:val="center"/>
        </w:pPr>
        <w:r w:rsidRPr="006536D8">
          <w:fldChar w:fldCharType="begin"/>
        </w:r>
        <w:r w:rsidRPr="006536D8">
          <w:instrText xml:space="preserve"> PAGE   \* MERGEFORMAT </w:instrText>
        </w:r>
        <w:r w:rsidRPr="006536D8">
          <w:fldChar w:fldCharType="separate"/>
        </w:r>
        <w:r w:rsidRPr="006536D8">
          <w:t>3</w:t>
        </w:r>
        <w:r w:rsidRPr="006536D8">
          <w:fldChar w:fldCharType="end"/>
        </w:r>
      </w:p>
    </w:sdtContent>
  </w:sdt>
  <w:p w14:paraId="01D68BCD" w14:textId="77777777" w:rsidR="00FC0AF3" w:rsidRPr="006536D8" w:rsidRDefault="00FC0AF3"/>
  <w:p w14:paraId="1EBDF85D" w14:textId="77777777" w:rsidR="00FC0AF3" w:rsidRPr="006536D8" w:rsidRDefault="00FC0AF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FBD79A" w14:textId="77777777" w:rsidR="00F55679" w:rsidRDefault="00F55679">
      <w:pPr>
        <w:spacing w:after="0"/>
      </w:pPr>
      <w:r>
        <w:separator/>
      </w:r>
    </w:p>
  </w:footnote>
  <w:footnote w:type="continuationSeparator" w:id="0">
    <w:p w14:paraId="3E1C6CDE" w14:textId="77777777" w:rsidR="00F55679" w:rsidRDefault="00F55679">
      <w:pPr>
        <w:spacing w:after="0"/>
      </w:pPr>
      <w:r>
        <w:continuationSeparator/>
      </w:r>
    </w:p>
  </w:footnote>
  <w:footnote w:id="1">
    <w:p w14:paraId="781E16F3" w14:textId="3F75531D" w:rsidR="00FC0AF3" w:rsidRPr="006536D8" w:rsidRDefault="00FC0AF3" w:rsidP="00FC0AF3">
      <w:pPr>
        <w:pStyle w:val="FootnoteText"/>
      </w:pPr>
      <w:r w:rsidRPr="006536D8">
        <w:rPr>
          <w:rStyle w:val="FootnoteReference"/>
        </w:rPr>
        <w:footnoteRef/>
      </w:r>
      <w:r>
        <w:t xml:space="preserve"> </w:t>
      </w:r>
      <w:r w:rsidRPr="006536D8">
        <w:rPr>
          <w:rStyle w:val="FootnoteReference"/>
        </w:rPr>
        <w:tab/>
      </w:r>
      <w:r w:rsidR="00884633" w:rsidRPr="00884633">
        <w:rPr>
          <w:lang w:val="en-US"/>
        </w:rPr>
        <w:t xml:space="preserve">An overview of the institutional framework for all four pillars can be found </w:t>
      </w:r>
      <w:hyperlink r:id="rId1" w:history="1">
        <w:r w:rsidR="00884633" w:rsidRPr="00884633">
          <w:rPr>
            <w:rStyle w:val="Hyperlink"/>
            <w:lang w:val="en-US"/>
          </w:rPr>
          <w:t>here</w:t>
        </w:r>
      </w:hyperlink>
      <w:r w:rsidRPr="006536D8">
        <w:t>. </w:t>
      </w:r>
    </w:p>
  </w:footnote>
  <w:footnote w:id="2">
    <w:p w14:paraId="35636D6D" w14:textId="77777777" w:rsidR="00FC0AF3" w:rsidRPr="00AF6756" w:rsidRDefault="00FC0AF3" w:rsidP="00FC0AF3">
      <w:pPr>
        <w:pStyle w:val="FootnoteText"/>
      </w:pPr>
      <w:r w:rsidRPr="00AF6756">
        <w:rPr>
          <w:rStyle w:val="FootnoteReference"/>
        </w:rPr>
        <w:footnoteRef/>
      </w:r>
      <w:r w:rsidRPr="00AF6756">
        <w:t xml:space="preserve"> </w:t>
      </w:r>
      <w:r w:rsidRPr="00AF6756">
        <w:tab/>
        <w:t xml:space="preserve">Figures </w:t>
      </w:r>
      <w:r>
        <w:t>48</w:t>
      </w:r>
      <w:r w:rsidRPr="00AF6756">
        <w:t xml:space="preserve"> and </w:t>
      </w:r>
      <w:r>
        <w:t>50</w:t>
      </w:r>
      <w:r w:rsidRPr="00D03E2F">
        <w:t>,</w:t>
      </w:r>
      <w:r w:rsidRPr="00AF6756">
        <w:t xml:space="preserve"> 2026 EU Justice Scoreboard and Figures 51 and </w:t>
      </w:r>
      <w:r>
        <w:t>53</w:t>
      </w:r>
      <w:r w:rsidRPr="00551154">
        <w:t>,</w:t>
      </w:r>
      <w:r w:rsidRPr="00AF6756">
        <w:t xml:space="preserve"> 202</w:t>
      </w:r>
      <w:r>
        <w:t>4</w:t>
      </w:r>
      <w:r w:rsidRPr="00AF6756">
        <w:t xml:space="preserve">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4269BFE5" w14:textId="77777777" w:rsidR="00FC0AF3" w:rsidRPr="007E75E2" w:rsidRDefault="00FC0AF3" w:rsidP="00FC0AF3">
      <w:pPr>
        <w:pStyle w:val="FootnoteText"/>
      </w:pPr>
      <w:r w:rsidRPr="00B9469B">
        <w:rPr>
          <w:rStyle w:val="FootnoteReference"/>
        </w:rPr>
        <w:footnoteRef/>
      </w:r>
      <w:r w:rsidRPr="00B9469B">
        <w:t xml:space="preserve"> </w:t>
      </w:r>
      <w:r w:rsidRPr="00B9469B">
        <w:tab/>
        <w:t xml:space="preserve">See 2023 Rule of Law Report, Hungary, pp. 3-5. Hungary adopted a legislative reform which established stronger powers for the NJC and ensures that the NJC gives a binding opinion on a number of important matters related to the administration of the justice system as regards both individual decisions and general regulations issued by the NOJ President. </w:t>
      </w:r>
      <w:r>
        <w:t>T</w:t>
      </w:r>
      <w:r w:rsidRPr="00B9469B">
        <w:t>he NJC now has access to all documents, information and data related to the administration of courts. It also needs to be consulted on legislative proposals affecting the justice system and is able to propose to the Government to initiate new legislation on the same matters.</w:t>
      </w:r>
    </w:p>
  </w:footnote>
  <w:footnote w:id="4">
    <w:p w14:paraId="6DF3911A" w14:textId="77777777" w:rsidR="00FC0AF3" w:rsidRPr="00BA2EA4" w:rsidRDefault="00FC0AF3" w:rsidP="00FC0AF3">
      <w:pPr>
        <w:pStyle w:val="FootnoteText"/>
      </w:pPr>
      <w:r>
        <w:rPr>
          <w:rStyle w:val="FootnoteReference"/>
        </w:rPr>
        <w:footnoteRef/>
      </w:r>
      <w:r>
        <w:t xml:space="preserve"> </w:t>
      </w:r>
      <w:r>
        <w:tab/>
        <w:t>Decisions 76/2025 of 11 June 2025, 99/2025 of 15 July 2025, 115/2025 of 3 September 2025, and 147/2025 of 5 November 2025.</w:t>
      </w:r>
    </w:p>
  </w:footnote>
  <w:footnote w:id="5">
    <w:p w14:paraId="34127547" w14:textId="77777777" w:rsidR="00FC0AF3" w:rsidRPr="00C1348C" w:rsidRDefault="00FC0AF3" w:rsidP="00FC0AF3">
      <w:pPr>
        <w:pStyle w:val="FootnoteText"/>
      </w:pPr>
      <w:r w:rsidRPr="006E05F8">
        <w:rPr>
          <w:rStyle w:val="FootnoteReference"/>
        </w:rPr>
        <w:footnoteRef/>
      </w:r>
      <w:r w:rsidRPr="006E05F8">
        <w:t xml:space="preserve"> </w:t>
      </w:r>
      <w:r w:rsidRPr="006E05F8">
        <w:tab/>
        <w:t>Country visit Hungary, Hungarian Government,</w:t>
      </w:r>
    </w:p>
  </w:footnote>
  <w:footnote w:id="6">
    <w:p w14:paraId="4329EEBF" w14:textId="4C3EC395" w:rsidR="00FC0AF3" w:rsidRPr="003D159C" w:rsidRDefault="00FC0AF3" w:rsidP="00FC0AF3">
      <w:pPr>
        <w:pStyle w:val="FootnoteText"/>
        <w:rPr>
          <w:lang w:val="en-IE"/>
        </w:rPr>
      </w:pPr>
      <w:r w:rsidRPr="003D159C">
        <w:rPr>
          <w:rStyle w:val="FootnoteReference"/>
          <w:lang w:val="en-IE"/>
        </w:rPr>
        <w:footnoteRef/>
      </w:r>
      <w:r w:rsidRPr="003D159C">
        <w:rPr>
          <w:lang w:val="en-IE"/>
        </w:rPr>
        <w:t xml:space="preserve"> </w:t>
      </w:r>
      <w:r w:rsidRPr="003D159C">
        <w:rPr>
          <w:lang w:val="en-IE"/>
        </w:rPr>
        <w:tab/>
        <w:t xml:space="preserve">See Section 108/A(9) of </w:t>
      </w:r>
      <w:r w:rsidR="00531EE5" w:rsidRPr="00531EE5">
        <w:rPr>
          <w:lang w:val="en-IE"/>
        </w:rPr>
        <w:t>the Organisation and Administration of Courts Act</w:t>
      </w:r>
      <w:r w:rsidRPr="003D159C">
        <w:rPr>
          <w:lang w:val="en-IE"/>
        </w:rPr>
        <w:t xml:space="preserve"> and Section 36/A(1) of </w:t>
      </w:r>
      <w:r w:rsidR="003952BE">
        <w:rPr>
          <w:lang w:val="en-IE"/>
        </w:rPr>
        <w:t xml:space="preserve">the Constitutional Court </w:t>
      </w:r>
      <w:r w:rsidRPr="003D159C">
        <w:rPr>
          <w:lang w:val="en-IE"/>
        </w:rPr>
        <w:t xml:space="preserve">Act. </w:t>
      </w:r>
      <w:r>
        <w:rPr>
          <w:lang w:val="en-IE"/>
        </w:rPr>
        <w:t xml:space="preserve">On 9 September 2025, the Constitutional Court dismissed the NJC’s application related to the adoption of the 2025 judicial reform (see 2025 Rule of Law Report, Hungary, p. 5). On </w:t>
      </w:r>
      <w:r w:rsidRPr="00591AB5">
        <w:rPr>
          <w:lang w:val="en-IE"/>
        </w:rPr>
        <w:t>19</w:t>
      </w:r>
      <w:r>
        <w:rPr>
          <w:lang w:val="en-IE"/>
        </w:rPr>
        <w:t xml:space="preserve"> February 2026, the NJC challenged Government Decree </w:t>
      </w:r>
      <w:r w:rsidRPr="00183E1F">
        <w:rPr>
          <w:lang w:val="en-IE"/>
        </w:rPr>
        <w:t xml:space="preserve">15/2026 </w:t>
      </w:r>
      <w:r>
        <w:rPr>
          <w:lang w:val="en-IE"/>
        </w:rPr>
        <w:t xml:space="preserve">of 3 February 2026, an emergency measure </w:t>
      </w:r>
      <w:r w:rsidRPr="00F2460B">
        <w:rPr>
          <w:lang w:val="en-IE"/>
        </w:rPr>
        <w:t>oblig</w:t>
      </w:r>
      <w:r>
        <w:rPr>
          <w:lang w:val="en-IE"/>
        </w:rPr>
        <w:t>ing</w:t>
      </w:r>
      <w:r w:rsidRPr="00F2460B">
        <w:rPr>
          <w:lang w:val="en-IE"/>
        </w:rPr>
        <w:t xml:space="preserve"> courts to discontinue ongoing cases</w:t>
      </w:r>
      <w:r>
        <w:rPr>
          <w:lang w:val="en-IE"/>
        </w:rPr>
        <w:t xml:space="preserve"> related to the </w:t>
      </w:r>
      <w:r w:rsidRPr="001067FF">
        <w:rPr>
          <w:lang w:val="en-IE"/>
        </w:rPr>
        <w:t>‘solidarity levy’</w:t>
      </w:r>
      <w:r>
        <w:rPr>
          <w:lang w:val="en-IE"/>
        </w:rPr>
        <w:t xml:space="preserve">; on 6 May 2026, the Constitutional Court annulled the justice-related provisions of the emergency measure with retroactive effect (case </w:t>
      </w:r>
      <w:r w:rsidRPr="00743DDD">
        <w:rPr>
          <w:lang w:val="en-IE"/>
        </w:rPr>
        <w:t>IX/00673/20</w:t>
      </w:r>
      <w:r w:rsidRPr="00B9469B">
        <w:rPr>
          <w:lang w:val="en-IE"/>
        </w:rPr>
        <w:t>26)</w:t>
      </w:r>
      <w:r>
        <w:rPr>
          <w:lang w:val="en-IE"/>
        </w:rPr>
        <w:t xml:space="preserve"> (see pillar IV).</w:t>
      </w:r>
    </w:p>
  </w:footnote>
  <w:footnote w:id="7">
    <w:p w14:paraId="3AB8F9F1" w14:textId="4C75C6B1" w:rsidR="00FC0AF3" w:rsidRPr="00C52CFE" w:rsidRDefault="00FC0AF3" w:rsidP="00FC0AF3">
      <w:pPr>
        <w:pStyle w:val="FootnoteText"/>
      </w:pPr>
      <w:r>
        <w:rPr>
          <w:rStyle w:val="FootnoteReference"/>
        </w:rPr>
        <w:footnoteRef/>
      </w:r>
      <w:r>
        <w:t xml:space="preserve"> </w:t>
      </w:r>
      <w:r>
        <w:tab/>
        <w:t>Decision 73/20</w:t>
      </w:r>
      <w:r w:rsidR="000162A9">
        <w:t>2</w:t>
      </w:r>
      <w:r>
        <w:t>6 (V.18.) OBT. See 2025 Rule of Law Report, Hungary, p. 10.</w:t>
      </w:r>
    </w:p>
  </w:footnote>
  <w:footnote w:id="8">
    <w:p w14:paraId="6559633F" w14:textId="77777777" w:rsidR="00FC0AF3" w:rsidRPr="00FC5320" w:rsidRDefault="00FC0AF3" w:rsidP="00FC0AF3">
      <w:pPr>
        <w:pStyle w:val="FootnoteText"/>
      </w:pPr>
      <w:r>
        <w:rPr>
          <w:rStyle w:val="FootnoteReference"/>
        </w:rPr>
        <w:footnoteRef/>
      </w:r>
      <w:r>
        <w:t xml:space="preserve"> </w:t>
      </w:r>
      <w:r>
        <w:tab/>
        <w:t xml:space="preserve">Decision </w:t>
      </w:r>
      <w:r w:rsidRPr="00FC5320">
        <w:t>72/2026 (V.18.) OBT</w:t>
      </w:r>
      <w:r>
        <w:t>.</w:t>
      </w:r>
    </w:p>
  </w:footnote>
  <w:footnote w:id="9">
    <w:p w14:paraId="314159C7" w14:textId="2F196625" w:rsidR="00FC0AF3" w:rsidRPr="00023FE7" w:rsidRDefault="00FC0AF3" w:rsidP="00FC0AF3">
      <w:pPr>
        <w:pStyle w:val="FootnoteText"/>
      </w:pPr>
      <w:r>
        <w:rPr>
          <w:rStyle w:val="FootnoteReference"/>
        </w:rPr>
        <w:footnoteRef/>
      </w:r>
      <w:r>
        <w:t xml:space="preserve"> </w:t>
      </w:r>
      <w:r>
        <w:tab/>
      </w:r>
      <w:r w:rsidRPr="00A94510">
        <w:t>On 14 February 2024, the Council set up an ad hoc committee to analyse the last election process and make recommendations for possible changes to the legislative framework</w:t>
      </w:r>
      <w:r>
        <w:t xml:space="preserve"> (2024 Rule of Law Report, Hungary, p. 5</w:t>
      </w:r>
      <w:r w:rsidR="000012A0">
        <w:t>)</w:t>
      </w:r>
      <w:r w:rsidR="00E64492">
        <w:t>.</w:t>
      </w:r>
      <w:r>
        <w:t xml:space="preserve"> See also </w:t>
      </w:r>
      <w:r w:rsidRPr="00956457">
        <w:t>National Judicial Council (2025), pp. 71-73; National Judicial Council (2026b), pp. 23-48;</w:t>
      </w:r>
      <w:r>
        <w:t xml:space="preserve"> </w:t>
      </w:r>
      <w:r w:rsidRPr="002014C3">
        <w:t>National Judicial Council (2026a), p. 8.</w:t>
      </w:r>
      <w:r>
        <w:t xml:space="preserve"> </w:t>
      </w:r>
    </w:p>
  </w:footnote>
  <w:footnote w:id="10">
    <w:p w14:paraId="21A840D1" w14:textId="77777777" w:rsidR="00FC0AF3" w:rsidRPr="00EE4759" w:rsidRDefault="00FC0AF3" w:rsidP="00FC0AF3">
      <w:pPr>
        <w:pStyle w:val="FootnoteText"/>
        <w:rPr>
          <w:lang w:val="en-IE"/>
        </w:rPr>
      </w:pPr>
      <w:r>
        <w:rPr>
          <w:rStyle w:val="FootnoteReference"/>
        </w:rPr>
        <w:footnoteRef/>
      </w:r>
      <w:r>
        <w:t xml:space="preserve"> </w:t>
      </w:r>
      <w:r>
        <w:rPr>
          <w:lang w:val="en-IE"/>
        </w:rPr>
        <w:tab/>
        <w:t>T</w:t>
      </w:r>
      <w:r w:rsidRPr="00C11238">
        <w:rPr>
          <w:lang w:val="en-IE"/>
        </w:rPr>
        <w:t xml:space="preserve">he </w:t>
      </w:r>
      <w:r>
        <w:rPr>
          <w:lang w:val="en-IE"/>
        </w:rPr>
        <w:t>NJC’s</w:t>
      </w:r>
      <w:r w:rsidRPr="00C11238">
        <w:rPr>
          <w:lang w:val="en-IE"/>
        </w:rPr>
        <w:t xml:space="preserve"> powers do not extend to supervising the administrative duties of </w:t>
      </w:r>
      <w:r>
        <w:rPr>
          <w:lang w:val="en-IE"/>
        </w:rPr>
        <w:t xml:space="preserve">any court president, including </w:t>
      </w:r>
      <w:r w:rsidRPr="00EE4759">
        <w:rPr>
          <w:lang w:val="en-IE"/>
        </w:rPr>
        <w:t xml:space="preserve">those of the </w:t>
      </w:r>
      <w:r w:rsidRPr="00EE4759">
        <w:rPr>
          <w:i/>
          <w:iCs/>
          <w:lang w:val="en-IE"/>
        </w:rPr>
        <w:t>Kúria</w:t>
      </w:r>
      <w:r w:rsidRPr="00EE4759">
        <w:rPr>
          <w:lang w:val="en-IE"/>
        </w:rPr>
        <w:t xml:space="preserve"> President </w:t>
      </w:r>
      <w:r w:rsidRPr="00C11063">
        <w:rPr>
          <w:lang w:val="en-IE"/>
        </w:rPr>
        <w:t>(Kúria, written reply).</w:t>
      </w:r>
    </w:p>
  </w:footnote>
  <w:footnote w:id="11">
    <w:p w14:paraId="4ECB6552" w14:textId="77777777" w:rsidR="00FC0AF3" w:rsidRPr="00E219DE" w:rsidRDefault="00FC0AF3" w:rsidP="00FC0AF3">
      <w:pPr>
        <w:pStyle w:val="FootnoteText"/>
        <w:rPr>
          <w:lang w:val="en-IE"/>
        </w:rPr>
      </w:pPr>
      <w:r w:rsidRPr="00E219DE">
        <w:rPr>
          <w:rStyle w:val="FootnoteReference"/>
          <w:lang w:val="en-IE"/>
        </w:rPr>
        <w:footnoteRef/>
      </w:r>
      <w:r w:rsidRPr="00E219DE">
        <w:rPr>
          <w:lang w:val="en-IE"/>
        </w:rPr>
        <w:t xml:space="preserve"> </w:t>
      </w:r>
      <w:r w:rsidRPr="00E219DE">
        <w:rPr>
          <w:lang w:val="en-IE"/>
        </w:rPr>
        <w:tab/>
        <w:t xml:space="preserve">The NJC is composed of the </w:t>
      </w:r>
      <w:r w:rsidRPr="00E219DE">
        <w:rPr>
          <w:i/>
          <w:iCs/>
          <w:lang w:val="en-IE"/>
        </w:rPr>
        <w:t>Kúria</w:t>
      </w:r>
      <w:r w:rsidRPr="00E219DE">
        <w:rPr>
          <w:lang w:val="en-IE"/>
        </w:rPr>
        <w:t xml:space="preserve"> President </w:t>
      </w:r>
      <w:r w:rsidRPr="00E219DE">
        <w:rPr>
          <w:i/>
          <w:iCs/>
          <w:lang w:val="en-IE"/>
        </w:rPr>
        <w:t>ex officio</w:t>
      </w:r>
      <w:r w:rsidRPr="00E219DE">
        <w:rPr>
          <w:lang w:val="en-IE"/>
        </w:rPr>
        <w:t xml:space="preserve"> and 14 judges-members (and 14 substitute members) elected by their peers for a period of six years. Judges-members (one court of appeal judge, six regional court judges and seven district court judges) are elected by a conference of delegates from among delegate judges. The full court of the </w:t>
      </w:r>
      <w:r w:rsidRPr="00E219DE">
        <w:rPr>
          <w:i/>
          <w:iCs/>
          <w:lang w:val="en-IE"/>
        </w:rPr>
        <w:t>Kúria</w:t>
      </w:r>
      <w:r w:rsidRPr="00E219DE">
        <w:rPr>
          <w:lang w:val="en-IE"/>
        </w:rPr>
        <w:t xml:space="preserve"> and the plenary sessions of each of the five regional appeal courts and the 20 regional courts elect 2 to 20 delegates.</w:t>
      </w:r>
    </w:p>
  </w:footnote>
  <w:footnote w:id="12">
    <w:p w14:paraId="6BFADAFF" w14:textId="77777777" w:rsidR="00FC0AF3" w:rsidRPr="00CD0587" w:rsidRDefault="00FC0AF3" w:rsidP="00FC0AF3">
      <w:pPr>
        <w:pStyle w:val="FootnoteText"/>
      </w:pPr>
      <w:r>
        <w:rPr>
          <w:rStyle w:val="FootnoteReference"/>
        </w:rPr>
        <w:footnoteRef/>
      </w:r>
      <w:r>
        <w:t xml:space="preserve"> </w:t>
      </w:r>
      <w:r>
        <w:tab/>
      </w:r>
      <w:r w:rsidRPr="00877655">
        <w:t>See NJC (2026), p. 9</w:t>
      </w:r>
      <w:r>
        <w:t>;</w:t>
      </w:r>
      <w:r w:rsidRPr="00877655">
        <w:t xml:space="preserve"> Hungarian Association of Judges (2026), pp. 9-10, 21; MEDEL (2026), pp. 10-11</w:t>
      </w:r>
      <w:r>
        <w:t>.</w:t>
      </w:r>
    </w:p>
  </w:footnote>
  <w:footnote w:id="13">
    <w:p w14:paraId="11B04B2C" w14:textId="77777777" w:rsidR="00FC0AF3" w:rsidRPr="00CD7F80" w:rsidDel="008770E3" w:rsidRDefault="00FC0AF3" w:rsidP="00FC0AF3">
      <w:pPr>
        <w:pStyle w:val="FootnoteText"/>
        <w:rPr>
          <w:lang w:val="en-IE"/>
        </w:rPr>
      </w:pPr>
      <w:r w:rsidRPr="00AD13BB" w:rsidDel="008770E3">
        <w:rPr>
          <w:rStyle w:val="FootnoteReference"/>
        </w:rPr>
        <w:footnoteRef/>
      </w:r>
      <w:r w:rsidRPr="00AD13BB">
        <w:t xml:space="preserve"> </w:t>
      </w:r>
      <w:r w:rsidRPr="00AD13BB">
        <w:tab/>
        <w:t xml:space="preserve">Integrity procedures are governed by internal regulations, and court presidents conduct investigations without the safeguards offered by service courts. The service courts are composed of members elected by the NJC from among judges, hear cases related to the assessment, fitness for office and disciplinary liability of judges. The </w:t>
      </w:r>
      <w:r w:rsidRPr="00AD13BB">
        <w:rPr>
          <w:i/>
          <w:iCs/>
        </w:rPr>
        <w:t>Kúria</w:t>
      </w:r>
      <w:r w:rsidRPr="00AD13BB">
        <w:t xml:space="preserve"> President regularly questions in public the legitimacy of the service courts (2025 Rule of Law Report, Hungary, p. 7). See also HVG.hu (2026).</w:t>
      </w:r>
    </w:p>
  </w:footnote>
  <w:footnote w:id="14">
    <w:p w14:paraId="33408511" w14:textId="77777777" w:rsidR="00FC0AF3" w:rsidRPr="00551506" w:rsidRDefault="00FC0AF3" w:rsidP="00FC0AF3">
      <w:pPr>
        <w:pStyle w:val="FootnoteText"/>
      </w:pPr>
      <w:r>
        <w:rPr>
          <w:rStyle w:val="FootnoteReference"/>
        </w:rPr>
        <w:footnoteRef/>
      </w:r>
      <w:r>
        <w:t xml:space="preserve"> </w:t>
      </w:r>
      <w:r>
        <w:tab/>
        <w:t xml:space="preserve">On 6 November 2025, the </w:t>
      </w:r>
      <w:r w:rsidRPr="008C2C88">
        <w:rPr>
          <w:i/>
          <w:iCs/>
        </w:rPr>
        <w:t>Kúria</w:t>
      </w:r>
      <w:r>
        <w:t xml:space="preserve"> issued a press release suggesting that the concerned judges might be held responsible for breaching their duties, and stating that if the </w:t>
      </w:r>
      <w:r w:rsidRPr="008C2C88">
        <w:rPr>
          <w:i/>
          <w:iCs/>
        </w:rPr>
        <w:t>Kúria</w:t>
      </w:r>
      <w:r>
        <w:t xml:space="preserve"> received credible information, it would be ready to conduct the appropriate procedures (</w:t>
      </w:r>
      <w:r w:rsidRPr="00EA2E29">
        <w:t>Kúria (2025</w:t>
      </w:r>
      <w:r>
        <w:t>b</w:t>
      </w:r>
      <w:r w:rsidRPr="00EA2E29">
        <w:t>)</w:t>
      </w:r>
      <w:r>
        <w:t>).</w:t>
      </w:r>
    </w:p>
  </w:footnote>
  <w:footnote w:id="15">
    <w:p w14:paraId="4D3DABDA" w14:textId="3EA62550" w:rsidR="00FC0AF3" w:rsidRPr="00412ED2" w:rsidRDefault="00FC0AF3" w:rsidP="00FC0AF3">
      <w:pPr>
        <w:pStyle w:val="FootnoteText"/>
      </w:pPr>
      <w:r>
        <w:rPr>
          <w:rStyle w:val="FootnoteReference"/>
        </w:rPr>
        <w:footnoteRef/>
      </w:r>
      <w:r>
        <w:t xml:space="preserve"> </w:t>
      </w:r>
      <w:r>
        <w:tab/>
      </w:r>
      <w:r w:rsidRPr="00663A70">
        <w:t>Kúria (2025b</w:t>
      </w:r>
      <w:r>
        <w:t xml:space="preserve">), </w:t>
      </w:r>
      <w:r w:rsidRPr="0057045D">
        <w:t>Kúria (202</w:t>
      </w:r>
      <w:r>
        <w:t>6</w:t>
      </w:r>
      <w:r w:rsidRPr="0057045D">
        <w:t>)</w:t>
      </w:r>
      <w:r>
        <w:t xml:space="preserve">. </w:t>
      </w:r>
      <w:r w:rsidRPr="00AD13BB">
        <w:t>In January 2026, the NJC rejected a motion by five of its judges-members to amend the Code of Ethics for Judges, which would have clarified that registering with a political party constitutes political activity that is prohibited for judges (National</w:t>
      </w:r>
      <w:r>
        <w:t xml:space="preserve"> </w:t>
      </w:r>
      <w:r w:rsidRPr="00AD13BB">
        <w:t>Judicial Council (2026</w:t>
      </w:r>
      <w:r>
        <w:t>c</w:t>
      </w:r>
      <w:r w:rsidRPr="00AD13BB">
        <w:t xml:space="preserve">), pp. 7-26). </w:t>
      </w:r>
      <w:r w:rsidR="00525A40">
        <w:t>On 11 June 2026, t</w:t>
      </w:r>
      <w:r w:rsidRPr="00AD13BB">
        <w:t xml:space="preserve">he Constitutional Court </w:t>
      </w:r>
      <w:r w:rsidR="00525A40">
        <w:t>rejected</w:t>
      </w:r>
      <w:r w:rsidRPr="00AD13BB">
        <w:t xml:space="preserve"> the motion filed by the </w:t>
      </w:r>
      <w:r w:rsidRPr="00AD13BB">
        <w:rPr>
          <w:i/>
          <w:iCs/>
        </w:rPr>
        <w:t>Kúria</w:t>
      </w:r>
      <w:r w:rsidRPr="00E061E9">
        <w:t xml:space="preserve"> President that question</w:t>
      </w:r>
      <w:r w:rsidR="00525A40">
        <w:t>ed</w:t>
      </w:r>
      <w:r w:rsidRPr="00E061E9">
        <w:t xml:space="preserve"> the NJC</w:t>
      </w:r>
      <w:r>
        <w:t>’s</w:t>
      </w:r>
      <w:r w:rsidRPr="00E061E9">
        <w:t xml:space="preserve"> competence to issue a Code of Ethics and highlights the absence of a reference to the Fundamental Law in its text</w:t>
      </w:r>
      <w:r w:rsidR="007803B2">
        <w:t xml:space="preserve">. </w:t>
      </w:r>
      <w:r w:rsidR="00352C72" w:rsidRPr="00352C72">
        <w:t xml:space="preserve">The Constitutional Court found that </w:t>
      </w:r>
      <w:r w:rsidR="00DA0A77">
        <w:t xml:space="preserve">it cannot review </w:t>
      </w:r>
      <w:r w:rsidR="00352C72" w:rsidRPr="00352C72">
        <w:t>the Code of Ethics</w:t>
      </w:r>
      <w:r w:rsidR="00277BCE">
        <w:t xml:space="preserve"> because it is not a normative act</w:t>
      </w:r>
      <w:r w:rsidR="00352C72" w:rsidRPr="00352C72">
        <w:t xml:space="preserve">. </w:t>
      </w:r>
      <w:r w:rsidR="004658D5">
        <w:t>The Constitutional Court</w:t>
      </w:r>
      <w:r w:rsidR="00352C72" w:rsidRPr="00352C72">
        <w:t xml:space="preserve"> </w:t>
      </w:r>
      <w:r w:rsidR="0054282A">
        <w:t>established</w:t>
      </w:r>
      <w:r w:rsidR="00352C72" w:rsidRPr="00352C72">
        <w:t xml:space="preserve"> ex officio as a constitutional requirement that if </w:t>
      </w:r>
      <w:r w:rsidR="002706D1">
        <w:t>ethical rules</w:t>
      </w:r>
      <w:r w:rsidR="00352C72" w:rsidRPr="00352C72">
        <w:t xml:space="preserve"> affect the legal status of judges, the guarantees pertaining to them must be regulated </w:t>
      </w:r>
      <w:r w:rsidR="005B0CE0">
        <w:t>in</w:t>
      </w:r>
      <w:r w:rsidR="00352C72" w:rsidRPr="00352C72">
        <w:t xml:space="preserve"> statut</w:t>
      </w:r>
      <w:r w:rsidR="005B0CE0">
        <w:t>e</w:t>
      </w:r>
      <w:r w:rsidR="00352C72" w:rsidRPr="00352C72">
        <w:t>.</w:t>
      </w:r>
      <w:r w:rsidR="006E4A48">
        <w:t xml:space="preserve"> </w:t>
      </w:r>
      <w:r w:rsidR="006E4A48" w:rsidRPr="006E4A48">
        <w:t>It called upon Parliament to fulfil its legislative duty by 31 March 2027</w:t>
      </w:r>
      <w:r w:rsidR="002F6633">
        <w:t xml:space="preserve"> </w:t>
      </w:r>
      <w:r>
        <w:t>(</w:t>
      </w:r>
      <w:r w:rsidR="0096263D">
        <w:t xml:space="preserve">Decision </w:t>
      </w:r>
      <w:r w:rsidR="0096263D" w:rsidRPr="0096263D">
        <w:t>4/2026. (VI. 19.) AB</w:t>
      </w:r>
      <w:r>
        <w:t>).</w:t>
      </w:r>
    </w:p>
  </w:footnote>
  <w:footnote w:id="16">
    <w:p w14:paraId="38C91827" w14:textId="2A94BFA9" w:rsidR="00BA6F94" w:rsidRPr="00C068BA" w:rsidRDefault="00BA6F94">
      <w:pPr>
        <w:pStyle w:val="FootnoteText"/>
        <w:rPr>
          <w:lang w:val="en-IE"/>
        </w:rPr>
      </w:pPr>
      <w:r>
        <w:rPr>
          <w:rStyle w:val="FootnoteReference"/>
        </w:rPr>
        <w:footnoteRef/>
      </w:r>
      <w:r>
        <w:tab/>
      </w:r>
      <w:r w:rsidR="009450F0">
        <w:t xml:space="preserve">Section </w:t>
      </w:r>
      <w:r w:rsidR="00A852D0">
        <w:t>41</w:t>
      </w:r>
      <w:r w:rsidR="00E53063">
        <w:t xml:space="preserve"> of </w:t>
      </w:r>
      <w:r w:rsidR="00360698">
        <w:t xml:space="preserve">the </w:t>
      </w:r>
      <w:r w:rsidR="002B2D0B">
        <w:t>omnibus law of June 2026</w:t>
      </w:r>
      <w:r w:rsidR="00E53063">
        <w:t xml:space="preserve"> amending Section </w:t>
      </w:r>
      <w:r w:rsidR="009F0912">
        <w:t xml:space="preserve">232/X(1) of the </w:t>
      </w:r>
      <w:r w:rsidR="008F212C">
        <w:t xml:space="preserve">Legal </w:t>
      </w:r>
      <w:r w:rsidR="009F0912">
        <w:t xml:space="preserve">Status and Remuneration of Judges Act. </w:t>
      </w:r>
      <w:r>
        <w:t xml:space="preserve">See also </w:t>
      </w:r>
      <w:r w:rsidR="009450F0">
        <w:t>2023 Rule of Law Report, Hungary, p. 7.</w:t>
      </w:r>
    </w:p>
  </w:footnote>
  <w:footnote w:id="17">
    <w:p w14:paraId="1C8AA8B5" w14:textId="1E584085" w:rsidR="004862CF" w:rsidRPr="00E3735C" w:rsidRDefault="004862CF">
      <w:pPr>
        <w:pStyle w:val="FootnoteText"/>
        <w:rPr>
          <w:lang w:val="en-IE"/>
        </w:rPr>
      </w:pPr>
      <w:r>
        <w:rPr>
          <w:rStyle w:val="FootnoteReference"/>
        </w:rPr>
        <w:footnoteRef/>
      </w:r>
      <w:r>
        <w:tab/>
      </w:r>
      <w:r w:rsidR="002D798A">
        <w:rPr>
          <w:lang w:val="en-US"/>
        </w:rPr>
        <w:t>T/324.</w:t>
      </w:r>
    </w:p>
  </w:footnote>
  <w:footnote w:id="18">
    <w:p w14:paraId="51F69965" w14:textId="77777777" w:rsidR="00FC0AF3" w:rsidRPr="00E738EE" w:rsidRDefault="00FC0AF3" w:rsidP="00FC0AF3">
      <w:pPr>
        <w:pStyle w:val="FootnoteText"/>
      </w:pPr>
      <w:r>
        <w:rPr>
          <w:rStyle w:val="FootnoteReference"/>
        </w:rPr>
        <w:footnoteRef/>
      </w:r>
      <w:r>
        <w:t xml:space="preserve"> </w:t>
      </w:r>
      <w:r>
        <w:tab/>
        <w:t>The ‘uniformity complaint panel’ was renamed to ‘uniformity panel’ as of 15 February 2026.</w:t>
      </w:r>
    </w:p>
  </w:footnote>
  <w:footnote w:id="19">
    <w:p w14:paraId="7C67914D" w14:textId="59566096" w:rsidR="00FC0AF3" w:rsidRPr="009F78A5" w:rsidRDefault="00FC0AF3" w:rsidP="00FC0AF3">
      <w:pPr>
        <w:pStyle w:val="FootnoteText"/>
      </w:pPr>
      <w:r w:rsidRPr="00D23F2C">
        <w:rPr>
          <w:rStyle w:val="FootnoteReference"/>
        </w:rPr>
        <w:footnoteRef/>
      </w:r>
      <w:r w:rsidRPr="007E7642">
        <w:t xml:space="preserve"> </w:t>
      </w:r>
      <w:r w:rsidRPr="007E7642">
        <w:tab/>
        <w:t xml:space="preserve">Act XLIX of 2025 amended the Code of Civil Procedure by allowing the parties in each case to request that the </w:t>
      </w:r>
      <w:r w:rsidRPr="007E7642">
        <w:rPr>
          <w:i/>
          <w:iCs/>
        </w:rPr>
        <w:t>Kúria</w:t>
      </w:r>
      <w:r w:rsidRPr="007E7642">
        <w:t xml:space="preserve"> review the binding decision of the lower-tier courts on points </w:t>
      </w:r>
      <w:r>
        <w:t xml:space="preserve">of </w:t>
      </w:r>
      <w:r w:rsidRPr="007E7642">
        <w:t xml:space="preserve">law. This means that all legal disputes now </w:t>
      </w:r>
      <w:r>
        <w:t>may</w:t>
      </w:r>
      <w:r w:rsidRPr="007E7642">
        <w:t xml:space="preserve"> be considered by the </w:t>
      </w:r>
      <w:r w:rsidRPr="007E7642">
        <w:rPr>
          <w:i/>
          <w:iCs/>
        </w:rPr>
        <w:t>Kúria</w:t>
      </w:r>
      <w:r w:rsidRPr="007E7642">
        <w:t>, enabling the highest court to provide an interpretation of the law that lower courts must adhere to.</w:t>
      </w:r>
    </w:p>
  </w:footnote>
  <w:footnote w:id="20">
    <w:p w14:paraId="6B3BFB0E" w14:textId="74939439" w:rsidR="00FC0AF3" w:rsidRPr="00C463D9" w:rsidRDefault="00FC0AF3" w:rsidP="00FC0AF3">
      <w:pPr>
        <w:pStyle w:val="FootnoteText"/>
      </w:pPr>
      <w:r>
        <w:rPr>
          <w:rStyle w:val="FootnoteReference"/>
        </w:rPr>
        <w:footnoteRef/>
      </w:r>
      <w:r>
        <w:t xml:space="preserve"> </w:t>
      </w:r>
      <w:r>
        <w:tab/>
        <w:t xml:space="preserve">See </w:t>
      </w:r>
      <w:r w:rsidRPr="00C463D9">
        <w:t xml:space="preserve">Article 25(3) of </w:t>
      </w:r>
      <w:r>
        <w:t>the</w:t>
      </w:r>
      <w:r w:rsidRPr="00C463D9">
        <w:t xml:space="preserve"> Fundamental Law</w:t>
      </w:r>
      <w:r>
        <w:t>. I</w:t>
      </w:r>
      <w:r w:rsidRPr="001A544A">
        <w:t xml:space="preserve">f a departure nevertheless occurs, the parties may avail themselves of </w:t>
      </w:r>
      <w:r>
        <w:t>r</w:t>
      </w:r>
      <w:r w:rsidRPr="001A544A">
        <w:t xml:space="preserve">eview proceedings </w:t>
      </w:r>
      <w:r>
        <w:t xml:space="preserve">before the </w:t>
      </w:r>
      <w:r w:rsidRPr="00C01D3D">
        <w:rPr>
          <w:i/>
          <w:iCs/>
        </w:rPr>
        <w:t>Kúria</w:t>
      </w:r>
      <w:r>
        <w:t xml:space="preserve"> </w:t>
      </w:r>
      <w:r w:rsidRPr="001A544A">
        <w:t>on point</w:t>
      </w:r>
      <w:r>
        <w:t>s</w:t>
      </w:r>
      <w:r w:rsidRPr="001A544A">
        <w:t xml:space="preserve"> of law </w:t>
      </w:r>
      <w:r>
        <w:t>(</w:t>
      </w:r>
      <w:r w:rsidRPr="001A544A">
        <w:t xml:space="preserve">Constitutional Court Decision 3002/2025. (I. 21.), </w:t>
      </w:r>
      <w:r>
        <w:t xml:space="preserve">paras </w:t>
      </w:r>
      <w:r w:rsidRPr="001A544A">
        <w:t>37-3</w:t>
      </w:r>
      <w:r w:rsidR="000012A0">
        <w:t>9)</w:t>
      </w:r>
      <w:r>
        <w:t xml:space="preserve"> or</w:t>
      </w:r>
      <w:r w:rsidRPr="001A544A">
        <w:t xml:space="preserve"> </w:t>
      </w:r>
      <w:r>
        <w:t xml:space="preserve">– in the case of </w:t>
      </w:r>
      <w:r w:rsidRPr="00C01D3D">
        <w:rPr>
          <w:i/>
          <w:iCs/>
        </w:rPr>
        <w:t>Kúria</w:t>
      </w:r>
      <w:r w:rsidRPr="001A544A">
        <w:t xml:space="preserve"> </w:t>
      </w:r>
      <w:r>
        <w:t xml:space="preserve">decisions – </w:t>
      </w:r>
      <w:r w:rsidRPr="001A544A">
        <w:t>initiate uniformity complaint proceedings</w:t>
      </w:r>
      <w:r>
        <w:t xml:space="preserve"> before</w:t>
      </w:r>
      <w:r w:rsidRPr="001A544A">
        <w:t xml:space="preserve"> the </w:t>
      </w:r>
      <w:r w:rsidRPr="00D26161">
        <w:rPr>
          <w:i/>
          <w:iCs/>
        </w:rPr>
        <w:t>Kúria</w:t>
      </w:r>
      <w:r w:rsidRPr="001A544A">
        <w:t xml:space="preserve">’s </w:t>
      </w:r>
      <w:r>
        <w:t>uniformity panel</w:t>
      </w:r>
      <w:r w:rsidRPr="001A544A">
        <w:t xml:space="preserve"> </w:t>
      </w:r>
      <w:r>
        <w:t>(</w:t>
      </w:r>
      <w:r w:rsidRPr="001A544A">
        <w:t xml:space="preserve">Jpe.II.60.012/2024/7, </w:t>
      </w:r>
      <w:r>
        <w:t xml:space="preserve">para </w:t>
      </w:r>
      <w:r w:rsidRPr="001A544A">
        <w:t>41</w:t>
      </w:r>
      <w:r>
        <w:t xml:space="preserve">). </w:t>
      </w:r>
    </w:p>
  </w:footnote>
  <w:footnote w:id="21">
    <w:p w14:paraId="771B4284" w14:textId="08635CB1" w:rsidR="00FC0AF3" w:rsidRPr="008B0329" w:rsidRDefault="00FC0AF3" w:rsidP="00FC0AF3">
      <w:pPr>
        <w:pStyle w:val="FootnoteText"/>
      </w:pPr>
      <w:r>
        <w:rPr>
          <w:rStyle w:val="FootnoteReference"/>
        </w:rPr>
        <w:footnoteRef/>
      </w:r>
      <w:r>
        <w:t xml:space="preserve"> </w:t>
      </w:r>
      <w:r>
        <w:tab/>
      </w:r>
      <w:r w:rsidRPr="008B0329">
        <w:t xml:space="preserve">Section 32(1)(a) of </w:t>
      </w:r>
      <w:r w:rsidR="00D64733" w:rsidRPr="00D64733">
        <w:t>the Organisation and Administration of Courts Act</w:t>
      </w:r>
      <w:r>
        <w:t xml:space="preserve"> and uniformity decision </w:t>
      </w:r>
      <w:r w:rsidRPr="008B0329">
        <w:t xml:space="preserve">15/2025. JEH, </w:t>
      </w:r>
      <w:r>
        <w:t xml:space="preserve">para </w:t>
      </w:r>
      <w:r w:rsidRPr="008B0329">
        <w:t>67</w:t>
      </w:r>
      <w:r>
        <w:t>.</w:t>
      </w:r>
    </w:p>
  </w:footnote>
  <w:footnote w:id="22">
    <w:p w14:paraId="6BD3BAA9" w14:textId="77777777" w:rsidR="00FC0AF3" w:rsidRPr="005E0E2B" w:rsidRDefault="00FC0AF3" w:rsidP="00FC0AF3">
      <w:pPr>
        <w:pStyle w:val="FootnoteText"/>
      </w:pPr>
      <w:r>
        <w:rPr>
          <w:rStyle w:val="FootnoteReference"/>
        </w:rPr>
        <w:footnoteRef/>
      </w:r>
      <w:r>
        <w:t xml:space="preserve"> </w:t>
      </w:r>
      <w:r>
        <w:tab/>
        <w:t>Kúria, written reply.</w:t>
      </w:r>
    </w:p>
  </w:footnote>
  <w:footnote w:id="23">
    <w:p w14:paraId="34ACD736" w14:textId="77777777" w:rsidR="00FC0AF3" w:rsidRPr="00F07BC3" w:rsidRDefault="00FC0AF3" w:rsidP="00FC0AF3">
      <w:pPr>
        <w:pStyle w:val="FootnoteText"/>
        <w:rPr>
          <w:lang w:val="en-IE"/>
        </w:rPr>
      </w:pPr>
      <w:r w:rsidRPr="00D23F2C">
        <w:rPr>
          <w:rStyle w:val="FootnoteReference"/>
        </w:rPr>
        <w:footnoteRef/>
      </w:r>
      <w:r w:rsidRPr="009B3DC9">
        <w:t xml:space="preserve"> </w:t>
      </w:r>
      <w:r w:rsidRPr="009B3DC9">
        <w:rPr>
          <w:lang w:val="en-IE"/>
        </w:rPr>
        <w:tab/>
        <w:t xml:space="preserve">CJEU judgment, </w:t>
      </w:r>
      <w:r w:rsidRPr="00F07BC3">
        <w:rPr>
          <w:i/>
          <w:iCs/>
          <w:lang w:val="en-IE"/>
        </w:rPr>
        <w:t>Global Ink Trade</w:t>
      </w:r>
      <w:r w:rsidRPr="009B3DC9">
        <w:rPr>
          <w:lang w:val="en-IE"/>
        </w:rPr>
        <w:t>.</w:t>
      </w:r>
    </w:p>
  </w:footnote>
  <w:footnote w:id="24">
    <w:p w14:paraId="43588D4C" w14:textId="7809095A" w:rsidR="00930566" w:rsidRPr="007C6F51" w:rsidRDefault="00930566" w:rsidP="00930566">
      <w:pPr>
        <w:pStyle w:val="FootnoteText"/>
        <w:rPr>
          <w:lang w:val="en-IE"/>
        </w:rPr>
      </w:pPr>
      <w:r w:rsidRPr="009B3DC9">
        <w:rPr>
          <w:rStyle w:val="FootnoteReference"/>
        </w:rPr>
        <w:footnoteRef/>
      </w:r>
      <w:r w:rsidRPr="009B3DC9">
        <w:t xml:space="preserve"> </w:t>
      </w:r>
      <w:r w:rsidRPr="009B3DC9">
        <w:rPr>
          <w:lang w:val="en-IE"/>
        </w:rPr>
        <w:tab/>
        <w:t xml:space="preserve">These cases affected for instance </w:t>
      </w:r>
      <w:r w:rsidRPr="009B3DC9">
        <w:rPr>
          <w:lang w:eastAsia="fr-FR"/>
        </w:rPr>
        <w:t>foreign currency loan agreements</w:t>
      </w:r>
      <w:r w:rsidRPr="009B3DC9">
        <w:rPr>
          <w:lang w:val="en-IE"/>
        </w:rPr>
        <w:t xml:space="preserve"> (C-679/24 - </w:t>
      </w:r>
      <w:r w:rsidRPr="009B3DC9">
        <w:rPr>
          <w:i/>
          <w:iCs/>
          <w:lang w:val="en-IE"/>
        </w:rPr>
        <w:t>UniCredit Bank and Momentum Credit</w:t>
      </w:r>
      <w:r w:rsidRPr="009B3DC9">
        <w:rPr>
          <w:lang w:val="en-IE"/>
        </w:rPr>
        <w:t xml:space="preserve">; C-761/24 - </w:t>
      </w:r>
      <w:r w:rsidRPr="009B3DC9">
        <w:rPr>
          <w:i/>
          <w:iCs/>
          <w:lang w:val="en-IE"/>
        </w:rPr>
        <w:t>AXA Bank Belgium and Others</w:t>
      </w:r>
      <w:r w:rsidRPr="009B3DC9">
        <w:rPr>
          <w:lang w:val="en-IE"/>
        </w:rPr>
        <w:t xml:space="preserve">; </w:t>
      </w:r>
      <w:r w:rsidRPr="00F07BC3">
        <w:rPr>
          <w:lang w:val="en-IE"/>
        </w:rPr>
        <w:t xml:space="preserve">C-351/25 - </w:t>
      </w:r>
      <w:r w:rsidRPr="00F07BC3">
        <w:rPr>
          <w:i/>
          <w:iCs/>
          <w:lang w:val="en-IE"/>
        </w:rPr>
        <w:t xml:space="preserve">Trive Bank Hungary and Erinum </w:t>
      </w:r>
      <w:r w:rsidRPr="00355F29">
        <w:rPr>
          <w:i/>
          <w:iCs/>
          <w:lang w:val="en-IE"/>
        </w:rPr>
        <w:t>Capital</w:t>
      </w:r>
      <w:r w:rsidRPr="00355F29">
        <w:rPr>
          <w:lang w:val="en-IE"/>
        </w:rPr>
        <w:t xml:space="preserve">; C-1/26 - </w:t>
      </w:r>
      <w:r w:rsidRPr="00355F29">
        <w:rPr>
          <w:i/>
          <w:iCs/>
          <w:lang w:val="en-IE"/>
        </w:rPr>
        <w:t>ERSTE Bank Hungary and Intrum</w:t>
      </w:r>
      <w:r w:rsidRPr="00355F29">
        <w:rPr>
          <w:lang w:val="en-IE"/>
        </w:rPr>
        <w:t xml:space="preserve">) </w:t>
      </w:r>
      <w:r w:rsidRPr="00C068BA">
        <w:rPr>
          <w:lang w:val="en-IE"/>
        </w:rPr>
        <w:t xml:space="preserve">and the return of illegally staying third-country nationals (C-26/25, </w:t>
      </w:r>
      <w:r w:rsidRPr="00C068BA">
        <w:rPr>
          <w:i/>
          <w:iCs/>
          <w:lang w:val="en-IE"/>
        </w:rPr>
        <w:t>Bukla</w:t>
      </w:r>
      <w:r w:rsidRPr="00C068BA">
        <w:rPr>
          <w:lang w:val="en-IE"/>
        </w:rPr>
        <w:t>)</w:t>
      </w:r>
      <w:r w:rsidR="00C229DB" w:rsidRPr="00355F29">
        <w:rPr>
          <w:lang w:val="en-IE"/>
        </w:rPr>
        <w:t>.</w:t>
      </w:r>
      <w:r w:rsidR="00CA254D" w:rsidRPr="00355F29">
        <w:rPr>
          <w:lang w:val="en-IE"/>
        </w:rPr>
        <w:t xml:space="preserve"> </w:t>
      </w:r>
      <w:r w:rsidR="00684D3F" w:rsidRPr="00355F29">
        <w:rPr>
          <w:lang w:val="en-IE"/>
        </w:rPr>
        <w:t>On 16 July 2026, the CJEU handed down a judgment</w:t>
      </w:r>
      <w:r w:rsidR="00604A2E" w:rsidRPr="00355F29">
        <w:rPr>
          <w:lang w:val="en-IE"/>
        </w:rPr>
        <w:t xml:space="preserve"> in</w:t>
      </w:r>
      <w:r w:rsidR="00684D3F" w:rsidRPr="00355F29">
        <w:rPr>
          <w:lang w:val="en-IE"/>
        </w:rPr>
        <w:t xml:space="preserve"> </w:t>
      </w:r>
      <w:r w:rsidR="00684D3F" w:rsidRPr="00C068BA">
        <w:rPr>
          <w:i/>
          <w:iCs/>
          <w:lang w:val="en-IE"/>
        </w:rPr>
        <w:t>Bukla</w:t>
      </w:r>
      <w:r w:rsidR="00684D3F" w:rsidRPr="00355F29">
        <w:rPr>
          <w:lang w:val="en-IE"/>
        </w:rPr>
        <w:t>.</w:t>
      </w:r>
    </w:p>
  </w:footnote>
  <w:footnote w:id="25">
    <w:p w14:paraId="6C713BDD" w14:textId="77777777" w:rsidR="00FC0AF3" w:rsidRPr="002674A1" w:rsidRDefault="00FC0AF3" w:rsidP="00FC0AF3">
      <w:pPr>
        <w:pStyle w:val="FootnoteText"/>
      </w:pPr>
      <w:r>
        <w:rPr>
          <w:rStyle w:val="FootnoteReference"/>
        </w:rPr>
        <w:footnoteRef/>
      </w:r>
      <w:r>
        <w:t xml:space="preserve"> </w:t>
      </w:r>
      <w:r>
        <w:tab/>
        <w:t xml:space="preserve">The 2025 Rule of Law Report Recommended that Hungary ‘[i]mprove the transparency of case allocation systems in lower-instance courts, taking into account European standards on case allocation’. </w:t>
      </w:r>
      <w:r w:rsidRPr="00C91F49">
        <w:t>No progress was previously assessed on this recommendation in 2024.</w:t>
      </w:r>
    </w:p>
  </w:footnote>
  <w:footnote w:id="26">
    <w:p w14:paraId="4F12828C" w14:textId="77777777" w:rsidR="00FC0AF3" w:rsidRPr="00547088" w:rsidRDefault="00FC0AF3" w:rsidP="00FC0AF3">
      <w:pPr>
        <w:pStyle w:val="FootnoteText"/>
      </w:pPr>
      <w:r>
        <w:rPr>
          <w:rStyle w:val="FootnoteReference"/>
        </w:rPr>
        <w:footnoteRef/>
      </w:r>
      <w:r>
        <w:t xml:space="preserve"> </w:t>
      </w:r>
      <w:r>
        <w:tab/>
        <w:t>Country visit, Hungary.</w:t>
      </w:r>
    </w:p>
  </w:footnote>
  <w:footnote w:id="27">
    <w:p w14:paraId="1427190B" w14:textId="77777777" w:rsidR="00FC0AF3" w:rsidRPr="00C9722B" w:rsidRDefault="00FC0AF3" w:rsidP="00FC0AF3">
      <w:pPr>
        <w:pStyle w:val="FootnoteText"/>
        <w:rPr>
          <w:lang w:val="en-IE"/>
        </w:rPr>
      </w:pPr>
      <w:r>
        <w:rPr>
          <w:rStyle w:val="FootnoteReference"/>
        </w:rPr>
        <w:footnoteRef/>
      </w:r>
      <w:r>
        <w:t xml:space="preserve"> </w:t>
      </w:r>
      <w:r>
        <w:tab/>
      </w:r>
      <w:r w:rsidRPr="00F93AC7">
        <w:t>European Network of Councils for the Judiciary</w:t>
      </w:r>
      <w:r>
        <w:t xml:space="preserve"> </w:t>
      </w:r>
      <w:r w:rsidRPr="00F93AC7">
        <w:t>(2026)</w:t>
      </w:r>
      <w:r>
        <w:t xml:space="preserve">, p. 13. </w:t>
      </w:r>
      <w:r w:rsidRPr="00C61AB9">
        <w:t>Hungarian Association of Judges (2026),</w:t>
      </w:r>
      <w:r>
        <w:t xml:space="preserve"> p. 8; MEDEL (2026), p. 9. </w:t>
      </w:r>
    </w:p>
  </w:footnote>
  <w:footnote w:id="28">
    <w:p w14:paraId="3AF868DA" w14:textId="77777777" w:rsidR="00FC0AF3" w:rsidRPr="006361EB" w:rsidRDefault="00FC0AF3" w:rsidP="00FC0AF3">
      <w:pPr>
        <w:pStyle w:val="FootnoteText"/>
      </w:pPr>
      <w:r>
        <w:rPr>
          <w:rStyle w:val="FootnoteReference"/>
        </w:rPr>
        <w:footnoteRef/>
      </w:r>
      <w:r>
        <w:t xml:space="preserve"> </w:t>
      </w:r>
      <w:r>
        <w:tab/>
      </w:r>
      <w:r w:rsidRPr="006361EB">
        <w:t>Figure 54, 2026 EU Justice Scoreboard.</w:t>
      </w:r>
    </w:p>
  </w:footnote>
  <w:footnote w:id="29">
    <w:p w14:paraId="66DB5354" w14:textId="77777777" w:rsidR="00FC0AF3" w:rsidRPr="00B1023B" w:rsidRDefault="00FC0AF3" w:rsidP="00FC0AF3">
      <w:pPr>
        <w:pStyle w:val="FootnoteText"/>
      </w:pPr>
      <w:r>
        <w:rPr>
          <w:rStyle w:val="FootnoteReference"/>
        </w:rPr>
        <w:footnoteRef/>
      </w:r>
      <w:r>
        <w:t xml:space="preserve"> </w:t>
      </w:r>
      <w:r>
        <w:tab/>
        <w:t>Beside the mandatory three-year legal traineeship needed to pass the bar exam and the further requirement of having one year of professional experience, no further professional expertise is required to be elected as the Prosecutor General.</w:t>
      </w:r>
    </w:p>
  </w:footnote>
  <w:footnote w:id="30">
    <w:p w14:paraId="07189915" w14:textId="77777777" w:rsidR="00FC0AF3" w:rsidRPr="00462303" w:rsidRDefault="00FC0AF3" w:rsidP="00FC0AF3">
      <w:pPr>
        <w:pStyle w:val="FootnoteText"/>
      </w:pPr>
      <w:r w:rsidRPr="00B37315">
        <w:rPr>
          <w:rStyle w:val="FootnoteReference"/>
        </w:rPr>
        <w:footnoteRef/>
      </w:r>
      <w:r w:rsidRPr="00B37315">
        <w:t xml:space="preserve"> </w:t>
      </w:r>
      <w:r w:rsidRPr="00B37315">
        <w:tab/>
      </w:r>
      <w:r w:rsidRPr="00BD1C51">
        <w:t>Venice Commission (2025), paras. 29, 43-45</w:t>
      </w:r>
      <w:r w:rsidRPr="00B37315">
        <w:t>.</w:t>
      </w:r>
    </w:p>
  </w:footnote>
  <w:footnote w:id="31">
    <w:p w14:paraId="55B56CC1" w14:textId="77777777" w:rsidR="00FC0AF3" w:rsidRPr="00F07BC3" w:rsidRDefault="00FC0AF3" w:rsidP="00FC0AF3">
      <w:pPr>
        <w:pStyle w:val="FootnoteText"/>
        <w:rPr>
          <w:lang w:val="en-IE"/>
        </w:rPr>
      </w:pPr>
      <w:r>
        <w:rPr>
          <w:rStyle w:val="FootnoteReference"/>
        </w:rPr>
        <w:footnoteRef/>
      </w:r>
      <w:r>
        <w:t xml:space="preserve"> </w:t>
      </w:r>
      <w:r>
        <w:rPr>
          <w:lang w:val="en-IE"/>
        </w:rPr>
        <w:tab/>
        <w:t xml:space="preserve">2025 Rule of Law Report, Hungary, p. 8; </w:t>
      </w:r>
      <w:r w:rsidRPr="003132C5">
        <w:rPr>
          <w:lang w:val="en-IE"/>
        </w:rPr>
        <w:t>Amnesty International Hungary et al. (2026), p</w:t>
      </w:r>
      <w:r>
        <w:rPr>
          <w:lang w:val="en-IE"/>
        </w:rPr>
        <w:t xml:space="preserve">. 16; Hungarian Helsinki Committee (2026), p. 16; </w:t>
      </w:r>
      <w:r w:rsidRPr="007147A4">
        <w:rPr>
          <w:lang w:val="en-IE"/>
        </w:rPr>
        <w:t>K-Monitor (2026)</w:t>
      </w:r>
      <w:r>
        <w:rPr>
          <w:lang w:val="en-IE"/>
        </w:rPr>
        <w:t>, p. 10.</w:t>
      </w:r>
    </w:p>
  </w:footnote>
  <w:footnote w:id="32">
    <w:p w14:paraId="2C1A15CF" w14:textId="77777777" w:rsidR="00FC0AF3" w:rsidRPr="007D4898" w:rsidRDefault="00FC0AF3" w:rsidP="00FC0AF3">
      <w:pPr>
        <w:pStyle w:val="FootnoteText"/>
      </w:pPr>
      <w:r>
        <w:rPr>
          <w:rStyle w:val="FootnoteReference"/>
        </w:rPr>
        <w:footnoteRef/>
      </w:r>
      <w:r>
        <w:t xml:space="preserve"> </w:t>
      </w:r>
      <w:r>
        <w:tab/>
        <w:t>GRECO (2023), pp. 9-10.</w:t>
      </w:r>
    </w:p>
  </w:footnote>
  <w:footnote w:id="33">
    <w:p w14:paraId="7FC37D0A" w14:textId="77777777" w:rsidR="00FC0AF3" w:rsidRPr="004B4FFC" w:rsidRDefault="00FC0AF3" w:rsidP="00FC0AF3">
      <w:pPr>
        <w:pStyle w:val="FootnoteText"/>
        <w:rPr>
          <w:lang w:val="en-IE"/>
        </w:rPr>
      </w:pPr>
      <w:r>
        <w:rPr>
          <w:rStyle w:val="FootnoteReference"/>
        </w:rPr>
        <w:footnoteRef/>
      </w:r>
      <w:r>
        <w:t xml:space="preserve"> </w:t>
      </w:r>
      <w:r>
        <w:rPr>
          <w:lang w:val="en-IE"/>
        </w:rPr>
        <w:tab/>
        <w:t>The 2025 Rule of Law Report recommended that Hungary ‘[t]</w:t>
      </w:r>
      <w:r w:rsidRPr="00E86004">
        <w:rPr>
          <w:lang w:val="en-IE"/>
        </w:rPr>
        <w:t>ake measures to ensure that the ongoing increase in the remuneration of judges,</w:t>
      </w:r>
      <w:r>
        <w:rPr>
          <w:lang w:val="en-IE"/>
        </w:rPr>
        <w:t xml:space="preserve"> </w:t>
      </w:r>
      <w:r w:rsidRPr="00E86004">
        <w:rPr>
          <w:lang w:val="en-IE"/>
        </w:rPr>
        <w:t>prosecutors and judicial and prosecutorial staff is carried out in a structured manner,</w:t>
      </w:r>
      <w:r>
        <w:rPr>
          <w:lang w:val="en-IE"/>
        </w:rPr>
        <w:t xml:space="preserve"> </w:t>
      </w:r>
      <w:r w:rsidRPr="00E86004">
        <w:rPr>
          <w:lang w:val="en-IE"/>
        </w:rPr>
        <w:t>taking into account European standards on remuneration for the justice system</w:t>
      </w:r>
      <w:r>
        <w:rPr>
          <w:lang w:val="en-IE"/>
        </w:rPr>
        <w:t>’</w:t>
      </w:r>
      <w:r w:rsidRPr="00E86004">
        <w:rPr>
          <w:lang w:val="en-IE"/>
        </w:rPr>
        <w:t>.</w:t>
      </w:r>
    </w:p>
  </w:footnote>
  <w:footnote w:id="34">
    <w:p w14:paraId="09A0D67B" w14:textId="1F68356E" w:rsidR="00FC0AF3" w:rsidRPr="00941AB9" w:rsidRDefault="00FC0AF3" w:rsidP="00FC0AF3">
      <w:pPr>
        <w:pStyle w:val="FootnoteText"/>
        <w:rPr>
          <w:lang w:val="en-IE"/>
        </w:rPr>
      </w:pPr>
      <w:r>
        <w:rPr>
          <w:rStyle w:val="FootnoteReference"/>
        </w:rPr>
        <w:footnoteRef/>
      </w:r>
      <w:r>
        <w:t xml:space="preserve"> </w:t>
      </w:r>
      <w:r>
        <w:rPr>
          <w:lang w:val="en-IE"/>
        </w:rPr>
        <w:tab/>
        <w:t>F</w:t>
      </w:r>
      <w:r w:rsidRPr="00941AB9">
        <w:rPr>
          <w:lang w:val="en-IE"/>
        </w:rPr>
        <w:t>rom HUF 651</w:t>
      </w:r>
      <w:r>
        <w:rPr>
          <w:lang w:val="en-IE"/>
        </w:rPr>
        <w:t> </w:t>
      </w:r>
      <w:r w:rsidRPr="00941AB9">
        <w:rPr>
          <w:lang w:val="en-IE"/>
        </w:rPr>
        <w:t>660 (around EUR 1</w:t>
      </w:r>
      <w:r>
        <w:rPr>
          <w:lang w:val="en-IE"/>
        </w:rPr>
        <w:t> </w:t>
      </w:r>
      <w:r w:rsidR="00CE2155">
        <w:rPr>
          <w:lang w:val="en-IE"/>
        </w:rPr>
        <w:t>840</w:t>
      </w:r>
      <w:r w:rsidRPr="00941AB9">
        <w:rPr>
          <w:lang w:val="en-IE"/>
        </w:rPr>
        <w:t>) to HUF 716</w:t>
      </w:r>
      <w:r>
        <w:rPr>
          <w:lang w:val="en-IE"/>
        </w:rPr>
        <w:t> </w:t>
      </w:r>
      <w:r w:rsidRPr="00941AB9">
        <w:rPr>
          <w:lang w:val="en-IE"/>
        </w:rPr>
        <w:t xml:space="preserve">830 (around EUR </w:t>
      </w:r>
      <w:r w:rsidR="00CE2155">
        <w:rPr>
          <w:lang w:val="en-IE"/>
        </w:rPr>
        <w:t>2</w:t>
      </w:r>
      <w:r>
        <w:rPr>
          <w:lang w:val="en-IE"/>
        </w:rPr>
        <w:t> </w:t>
      </w:r>
      <w:r w:rsidR="00CE2155">
        <w:rPr>
          <w:lang w:val="en-IE"/>
        </w:rPr>
        <w:t>024</w:t>
      </w:r>
      <w:r w:rsidRPr="00941AB9">
        <w:rPr>
          <w:lang w:val="en-IE"/>
        </w:rPr>
        <w:t>)</w:t>
      </w:r>
      <w:r>
        <w:rPr>
          <w:lang w:val="en-IE"/>
        </w:rPr>
        <w:t>. See Section</w:t>
      </w:r>
      <w:r w:rsidRPr="00087A0C">
        <w:rPr>
          <w:lang w:val="en-IE"/>
        </w:rPr>
        <w:t xml:space="preserve"> 67</w:t>
      </w:r>
      <w:r>
        <w:rPr>
          <w:lang w:val="en-IE"/>
        </w:rPr>
        <w:t xml:space="preserve"> of </w:t>
      </w:r>
      <w:r w:rsidRPr="00087A0C">
        <w:rPr>
          <w:lang w:val="en-IE"/>
        </w:rPr>
        <w:t xml:space="preserve">Act LXIX of 2025 on </w:t>
      </w:r>
      <w:r w:rsidRPr="00295654">
        <w:rPr>
          <w:lang w:val="en-IE"/>
        </w:rPr>
        <w:t>the 202</w:t>
      </w:r>
      <w:r>
        <w:rPr>
          <w:lang w:val="en-IE"/>
        </w:rPr>
        <w:t>6</w:t>
      </w:r>
      <w:r w:rsidRPr="00295654">
        <w:rPr>
          <w:lang w:val="en-IE"/>
        </w:rPr>
        <w:t xml:space="preserve"> annual central budget</w:t>
      </w:r>
      <w:r>
        <w:rPr>
          <w:lang w:val="en-IE"/>
        </w:rPr>
        <w:t xml:space="preserve"> of Hungary. In </w:t>
      </w:r>
      <w:r w:rsidRPr="00EC7A9D">
        <w:rPr>
          <w:lang w:val="en-IE"/>
        </w:rPr>
        <w:t>December 2024, the National Assembly adopted the 2025 annual central budget raising</w:t>
      </w:r>
      <w:r>
        <w:rPr>
          <w:lang w:val="en-IE"/>
        </w:rPr>
        <w:t xml:space="preserve"> </w:t>
      </w:r>
      <w:r w:rsidRPr="00EC7A9D">
        <w:rPr>
          <w:lang w:val="en-IE"/>
        </w:rPr>
        <w:t>the salary base for judges by 15%</w:t>
      </w:r>
      <w:r>
        <w:rPr>
          <w:lang w:val="en-IE"/>
        </w:rPr>
        <w:t xml:space="preserve"> as of 1 January 2025 (see 2025 </w:t>
      </w:r>
      <w:r w:rsidRPr="006D408B">
        <w:rPr>
          <w:lang w:val="en-IE"/>
        </w:rPr>
        <w:t>Rule of Law Report,</w:t>
      </w:r>
      <w:r>
        <w:rPr>
          <w:lang w:val="en-IE"/>
        </w:rPr>
        <w:t xml:space="preserve"> Hungary, pp. 8-9</w:t>
      </w:r>
      <w:r w:rsidR="000012A0">
        <w:rPr>
          <w:lang w:val="en-IE"/>
        </w:rPr>
        <w:t>)</w:t>
      </w:r>
      <w:r w:rsidRPr="00EC7A9D">
        <w:rPr>
          <w:lang w:val="en-IE"/>
        </w:rPr>
        <w:t>.</w:t>
      </w:r>
      <w:r>
        <w:rPr>
          <w:lang w:val="en-IE"/>
        </w:rPr>
        <w:t xml:space="preserve"> </w:t>
      </w:r>
    </w:p>
  </w:footnote>
  <w:footnote w:id="35">
    <w:p w14:paraId="7A50EB3F" w14:textId="77777777" w:rsidR="00FC0AF3" w:rsidRPr="009D2B0A" w:rsidRDefault="00FC0AF3" w:rsidP="00FC0AF3">
      <w:pPr>
        <w:pStyle w:val="FootnoteText"/>
        <w:rPr>
          <w:lang w:val="hu-HU"/>
        </w:rPr>
      </w:pPr>
      <w:r w:rsidRPr="00F343B6">
        <w:rPr>
          <w:rStyle w:val="FootnoteReference"/>
          <w:lang w:val="en-IE"/>
        </w:rPr>
        <w:footnoteRef/>
      </w:r>
      <w:r w:rsidRPr="00D671D2">
        <w:rPr>
          <w:lang w:val="sv-SE"/>
        </w:rPr>
        <w:t xml:space="preserve"> </w:t>
      </w:r>
      <w:r w:rsidRPr="00D671D2">
        <w:rPr>
          <w:lang w:val="sv-SE"/>
        </w:rPr>
        <w:tab/>
        <w:t xml:space="preserve">Amnesty International Hungary et al. </w:t>
      </w:r>
      <w:r w:rsidRPr="00F343B6">
        <w:rPr>
          <w:lang w:val="en-IE"/>
        </w:rPr>
        <w:t>(2026), pp. 4, 23</w:t>
      </w:r>
      <w:r>
        <w:rPr>
          <w:lang w:val="en-IE"/>
        </w:rPr>
        <w:t>;</w:t>
      </w:r>
      <w:r w:rsidRPr="00F343B6">
        <w:rPr>
          <w:lang w:val="en-IE"/>
        </w:rPr>
        <w:t xml:space="preserve"> European Network of Councils for the Judiciary</w:t>
      </w:r>
      <w:r w:rsidRPr="0082594B">
        <w:t xml:space="preserve"> (2026)</w:t>
      </w:r>
      <w:r>
        <w:t xml:space="preserve">, p. 13; </w:t>
      </w:r>
      <w:r>
        <w:rPr>
          <w:lang w:val="en-IE"/>
        </w:rPr>
        <w:t>c</w:t>
      </w:r>
      <w:r w:rsidRPr="00B03FAC">
        <w:rPr>
          <w:lang w:val="en-IE"/>
        </w:rPr>
        <w:t>ountry visit, Hungary,</w:t>
      </w:r>
      <w:r w:rsidRPr="00B03FAC">
        <w:t xml:space="preserve"> National Judicial Council</w:t>
      </w:r>
      <w:r w:rsidRPr="00B03FAC" w:rsidDel="005F3E09">
        <w:t>.</w:t>
      </w:r>
      <w:r>
        <w:t xml:space="preserve"> Contrary to salaries in the justice system, t</w:t>
      </w:r>
      <w:r w:rsidRPr="00502102">
        <w:t xml:space="preserve">he salaries of several </w:t>
      </w:r>
      <w:r>
        <w:t xml:space="preserve">other </w:t>
      </w:r>
      <w:r w:rsidRPr="00502102">
        <w:t xml:space="preserve">categories of key public officials </w:t>
      </w:r>
      <w:r>
        <w:t>– including t</w:t>
      </w:r>
      <w:r w:rsidRPr="000E009A">
        <w:t xml:space="preserve">he </w:t>
      </w:r>
      <w:r>
        <w:t xml:space="preserve">top management of the </w:t>
      </w:r>
      <w:r w:rsidRPr="000E009A">
        <w:t xml:space="preserve">Competition Authority, the Public Procurement Authority, the National Media and Infocommunications Authority, the Integrity Authority and the Sovereignty Protection Office </w:t>
      </w:r>
      <w:r>
        <w:t xml:space="preserve">– </w:t>
      </w:r>
      <w:r w:rsidRPr="00502102">
        <w:t>are calculated on the basis of the previous year’s gross average salary in the national economy, published by the Central Statistical Office</w:t>
      </w:r>
      <w:r>
        <w:t xml:space="preserve"> (2025 Rule of Law Report, Hungary, p. 9)</w:t>
      </w:r>
      <w:r w:rsidRPr="00502102">
        <w:t>.</w:t>
      </w:r>
    </w:p>
  </w:footnote>
  <w:footnote w:id="36">
    <w:p w14:paraId="0D5DC36E" w14:textId="77777777" w:rsidR="00FC0AF3" w:rsidRPr="00AB5086" w:rsidRDefault="00FC0AF3" w:rsidP="00FC0AF3">
      <w:pPr>
        <w:pStyle w:val="FootnoteText"/>
        <w:rPr>
          <w:lang w:val="hu-HU"/>
        </w:rPr>
      </w:pPr>
      <w:r w:rsidRPr="00BF0E02">
        <w:rPr>
          <w:rStyle w:val="FootnoteReference"/>
          <w:lang w:val="en-IE"/>
        </w:rPr>
        <w:footnoteRef/>
      </w:r>
      <w:r w:rsidRPr="00BF0E02">
        <w:rPr>
          <w:lang w:val="en-IE"/>
        </w:rPr>
        <w:t xml:space="preserve"> </w:t>
      </w:r>
      <w:r w:rsidRPr="00BF0E02">
        <w:rPr>
          <w:lang w:val="en-IE"/>
        </w:rPr>
        <w:tab/>
        <w:t>Hungarian Association of</w:t>
      </w:r>
      <w:r w:rsidRPr="009B3DC9">
        <w:t xml:space="preserve"> Judges (2026), pp. 11-12; MEDEL (2026), p. 11.</w:t>
      </w:r>
    </w:p>
  </w:footnote>
  <w:footnote w:id="37">
    <w:p w14:paraId="611F0A08" w14:textId="77777777" w:rsidR="00FC0AF3" w:rsidRPr="00343DA8" w:rsidRDefault="00FC0AF3" w:rsidP="00FC0AF3">
      <w:pPr>
        <w:pStyle w:val="FootnoteText"/>
        <w:rPr>
          <w:lang w:val="en-IE"/>
        </w:rPr>
      </w:pPr>
      <w:r w:rsidRPr="00DC63CA">
        <w:rPr>
          <w:rStyle w:val="FootnoteReference"/>
        </w:rPr>
        <w:footnoteRef/>
      </w:r>
      <w:r w:rsidRPr="00DC63CA">
        <w:rPr>
          <w:lang w:val="en-IE"/>
        </w:rPr>
        <w:t xml:space="preserve"> </w:t>
      </w:r>
      <w:r w:rsidRPr="00DC63CA">
        <w:rPr>
          <w:lang w:val="en-IE"/>
        </w:rPr>
        <w:tab/>
        <w:t>Country visit, Hungary, Hungarian Chamber of Commerce and Industry.</w:t>
      </w:r>
      <w:r>
        <w:rPr>
          <w:lang w:val="en-IE"/>
        </w:rPr>
        <w:t xml:space="preserve"> </w:t>
      </w:r>
      <w:r w:rsidRPr="009541B9">
        <w:rPr>
          <w:lang w:val="en-IE"/>
        </w:rPr>
        <w:t xml:space="preserve">Conciliation boards attached to regional chambers of commerce and industry have been operating in consumer/business dispute resolution for over 25 years. From 1 January 2026, access to these boards was extended to include micro, small and medium-sized enterprises (SMEs) buying goods or services as </w:t>
      </w:r>
      <w:r>
        <w:rPr>
          <w:lang w:val="en-IE"/>
        </w:rPr>
        <w:t>‘</w:t>
      </w:r>
      <w:r w:rsidRPr="009541B9">
        <w:rPr>
          <w:lang w:val="en-IE"/>
        </w:rPr>
        <w:t>end users</w:t>
      </w:r>
      <w:r>
        <w:rPr>
          <w:lang w:val="en-IE"/>
        </w:rPr>
        <w:t>’</w:t>
      </w:r>
      <w:r w:rsidRPr="009541B9">
        <w:rPr>
          <w:lang w:val="en-IE"/>
        </w:rPr>
        <w:t>. This provides SMEs with a free, settlement-focused legal avenue.</w:t>
      </w:r>
    </w:p>
  </w:footnote>
  <w:footnote w:id="38">
    <w:p w14:paraId="7ED0C226" w14:textId="38D5D793" w:rsidR="00FC0AF3" w:rsidRPr="004640FC" w:rsidRDefault="00FC0AF3" w:rsidP="00FC0AF3">
      <w:pPr>
        <w:pStyle w:val="FootnoteText"/>
        <w:rPr>
          <w:lang w:val="en-IE"/>
        </w:rPr>
      </w:pPr>
      <w:r>
        <w:rPr>
          <w:rStyle w:val="FootnoteReference"/>
        </w:rPr>
        <w:footnoteRef/>
      </w:r>
      <w:r w:rsidRPr="00343DA8">
        <w:rPr>
          <w:lang w:val="en-IE"/>
        </w:rPr>
        <w:t xml:space="preserve"> </w:t>
      </w:r>
      <w:r w:rsidRPr="00036902">
        <w:rPr>
          <w:lang w:val="en-IE"/>
        </w:rPr>
        <w:tab/>
        <w:t xml:space="preserve">Figure </w:t>
      </w:r>
      <w:r>
        <w:rPr>
          <w:lang w:val="en-IE"/>
        </w:rPr>
        <w:t>22</w:t>
      </w:r>
      <w:r w:rsidRPr="00036902">
        <w:rPr>
          <w:lang w:val="en-IE"/>
        </w:rPr>
        <w:t xml:space="preserve">, 2026 EU Justice Scoreboard. </w:t>
      </w:r>
      <w:r w:rsidRPr="00336B35">
        <w:rPr>
          <w:lang w:val="en-IE"/>
        </w:rPr>
        <w:t>The income threshold for legal aid in Hungary is the lowest in all European Union</w:t>
      </w:r>
      <w:r>
        <w:rPr>
          <w:lang w:val="en-IE"/>
        </w:rPr>
        <w:t xml:space="preserve"> </w:t>
      </w:r>
      <w:r w:rsidRPr="00336B35">
        <w:rPr>
          <w:lang w:val="en-IE"/>
        </w:rPr>
        <w:t>countries. Hungary provides free legal aid (legal counsel) for people with a monthly</w:t>
      </w:r>
      <w:r>
        <w:rPr>
          <w:lang w:val="en-IE"/>
        </w:rPr>
        <w:t xml:space="preserve"> </w:t>
      </w:r>
      <w:r w:rsidRPr="00336B35">
        <w:rPr>
          <w:lang w:val="en-IE"/>
        </w:rPr>
        <w:t>maximum income of HUF 28</w:t>
      </w:r>
      <w:r>
        <w:rPr>
          <w:lang w:val="en-IE"/>
        </w:rPr>
        <w:t> </w:t>
      </w:r>
      <w:r w:rsidRPr="00336B35">
        <w:rPr>
          <w:lang w:val="en-IE"/>
        </w:rPr>
        <w:t>500 (</w:t>
      </w:r>
      <w:r>
        <w:rPr>
          <w:lang w:val="en-IE"/>
        </w:rPr>
        <w:t>EUR</w:t>
      </w:r>
      <w:r w:rsidRPr="00336B35">
        <w:rPr>
          <w:lang w:val="en-IE"/>
        </w:rPr>
        <w:t xml:space="preserve"> </w:t>
      </w:r>
      <w:r w:rsidR="00F97348">
        <w:rPr>
          <w:lang w:val="en-IE"/>
        </w:rPr>
        <w:t>80</w:t>
      </w:r>
      <w:r w:rsidRPr="00336B35">
        <w:rPr>
          <w:lang w:val="en-IE"/>
        </w:rPr>
        <w:t>) per person as a general rule.</w:t>
      </w:r>
    </w:p>
  </w:footnote>
  <w:footnote w:id="39">
    <w:p w14:paraId="29B52591" w14:textId="77777777" w:rsidR="00FC0AF3" w:rsidRPr="006536D8" w:rsidRDefault="00FC0AF3" w:rsidP="00FC0AF3">
      <w:pPr>
        <w:pStyle w:val="FootnoteText"/>
      </w:pPr>
      <w:r w:rsidRPr="006536D8">
        <w:rPr>
          <w:rStyle w:val="FootnoteReference"/>
        </w:rPr>
        <w:footnoteRef/>
      </w:r>
      <w:r w:rsidRPr="006536D8">
        <w:t xml:space="preserve"> </w:t>
      </w:r>
      <w:r w:rsidRPr="006536D8">
        <w:tab/>
        <w:t>INFR(2025)2163. The Commission found that in Hungary, not all persons covered by EU rules have access to legal aid. Also, the granting of legal aid depends on a request by the individual. Additionally, while Hungary applies a system of mandatory defence, this system does not cover all scenarios set out by EU law, and it does not ensure that legal aid is granted without undue delay.</w:t>
      </w:r>
    </w:p>
  </w:footnote>
  <w:footnote w:id="40">
    <w:p w14:paraId="256EE599" w14:textId="03832C10" w:rsidR="00FC0AF3" w:rsidRPr="00244767" w:rsidRDefault="00FC0AF3" w:rsidP="00FC0AF3">
      <w:pPr>
        <w:pStyle w:val="FootnoteText"/>
        <w:rPr>
          <w:lang w:val="en-IE"/>
        </w:rPr>
      </w:pPr>
      <w:r>
        <w:rPr>
          <w:rStyle w:val="FootnoteReference"/>
        </w:rPr>
        <w:footnoteRef/>
      </w:r>
      <w:r>
        <w:t xml:space="preserve"> </w:t>
      </w:r>
      <w:r>
        <w:rPr>
          <w:lang w:val="en-IE"/>
        </w:rPr>
        <w:tab/>
        <w:t xml:space="preserve">The generally applicable fee remained HUF 7 000 (around EUR </w:t>
      </w:r>
      <w:r w:rsidR="000F08AA">
        <w:rPr>
          <w:lang w:val="en-IE"/>
        </w:rPr>
        <w:t>20</w:t>
      </w:r>
      <w:r>
        <w:rPr>
          <w:lang w:val="en-IE"/>
        </w:rPr>
        <w:t>) per hour (see Section 67(4) of Act LXIX of 2025 on the annual budget of 2026). As of February 2026, a new hourly fee applicable during the criminal investigation was introduced and set at HUF 11 000 (around EUR 3</w:t>
      </w:r>
      <w:r w:rsidR="00291AFC">
        <w:rPr>
          <w:lang w:val="en-IE"/>
        </w:rPr>
        <w:t>1</w:t>
      </w:r>
      <w:r>
        <w:rPr>
          <w:lang w:val="en-IE"/>
        </w:rPr>
        <w:t>) (see Section 7(1a) of Decree 32/2017 of 27 December 2017 of the Minister of Justice, amended by Decree 3/2026 of 30 January 2026).</w:t>
      </w:r>
    </w:p>
  </w:footnote>
  <w:footnote w:id="41">
    <w:p w14:paraId="2A6AE1B8" w14:textId="77777777" w:rsidR="00FC0AF3" w:rsidRPr="00870790" w:rsidRDefault="00FC0AF3" w:rsidP="00FC0AF3">
      <w:pPr>
        <w:pStyle w:val="FootnoteText"/>
      </w:pPr>
      <w:r>
        <w:rPr>
          <w:rStyle w:val="FootnoteReference"/>
        </w:rPr>
        <w:footnoteRef/>
      </w:r>
      <w:r w:rsidRPr="00D671D2">
        <w:rPr>
          <w:lang w:val="sv-SE"/>
        </w:rPr>
        <w:t xml:space="preserve"> </w:t>
      </w:r>
      <w:r w:rsidRPr="00D671D2">
        <w:rPr>
          <w:lang w:val="sv-SE"/>
        </w:rPr>
        <w:tab/>
        <w:t xml:space="preserve">Amnesty International Hungary et al. </w:t>
      </w:r>
      <w:r w:rsidRPr="006373AD">
        <w:rPr>
          <w:lang w:val="en-IE"/>
        </w:rPr>
        <w:t>(2026), p</w:t>
      </w:r>
      <w:r>
        <w:rPr>
          <w:lang w:val="en-IE"/>
        </w:rPr>
        <w:t>. 22; Hungarian Helsinki Committee (2026), p. 19.</w:t>
      </w:r>
    </w:p>
  </w:footnote>
  <w:footnote w:id="42">
    <w:p w14:paraId="61622017" w14:textId="77777777" w:rsidR="00FC0AF3" w:rsidRPr="004E3802" w:rsidRDefault="00FC0AF3" w:rsidP="00FC0AF3">
      <w:pPr>
        <w:pStyle w:val="FootnoteText"/>
      </w:pPr>
      <w:r>
        <w:rPr>
          <w:rStyle w:val="FootnoteReference"/>
        </w:rPr>
        <w:footnoteRef/>
      </w:r>
      <w:r>
        <w:t xml:space="preserve"> </w:t>
      </w:r>
      <w:r>
        <w:tab/>
        <w:t>2025 Rule of Law Report, Hungary, p. 9. Figure 27, 2025 EU Justice Scoreboard. Hungary ranks 25</w:t>
      </w:r>
      <w:r w:rsidRPr="00D638A0">
        <w:rPr>
          <w:vertAlign w:val="superscript"/>
        </w:rPr>
        <w:t>th</w:t>
      </w:r>
      <w:r>
        <w:t xml:space="preserve"> among EU Member States.</w:t>
      </w:r>
    </w:p>
  </w:footnote>
  <w:footnote w:id="43">
    <w:p w14:paraId="0C7600CE" w14:textId="77777777" w:rsidR="00FC0AF3" w:rsidRPr="00F07BC3" w:rsidRDefault="00FC0AF3" w:rsidP="00FC0AF3">
      <w:pPr>
        <w:pStyle w:val="FootnoteText"/>
        <w:rPr>
          <w:lang w:val="en-IE"/>
        </w:rPr>
      </w:pPr>
      <w:r>
        <w:rPr>
          <w:rStyle w:val="FootnoteReference"/>
        </w:rPr>
        <w:footnoteRef/>
      </w:r>
      <w:r w:rsidRPr="00F07BC3">
        <w:rPr>
          <w:lang w:val="en-IE"/>
        </w:rPr>
        <w:t xml:space="preserve"> </w:t>
      </w:r>
      <w:r w:rsidRPr="00F07BC3">
        <w:rPr>
          <w:lang w:val="en-IE"/>
        </w:rPr>
        <w:tab/>
        <w:t>Figure 47, 2026 EU Justice Scoreboard.</w:t>
      </w:r>
    </w:p>
  </w:footnote>
  <w:footnote w:id="44">
    <w:p w14:paraId="26098846" w14:textId="77777777" w:rsidR="00FC0AF3" w:rsidRPr="006373AD" w:rsidRDefault="00FC0AF3" w:rsidP="00FC0AF3">
      <w:pPr>
        <w:pStyle w:val="FootnoteText"/>
        <w:rPr>
          <w:lang w:val="en-IE"/>
        </w:rPr>
      </w:pPr>
      <w:r>
        <w:rPr>
          <w:rStyle w:val="FootnoteReference"/>
        </w:rPr>
        <w:footnoteRef/>
      </w:r>
      <w:r w:rsidRPr="00F07BC3">
        <w:rPr>
          <w:lang w:val="en-IE"/>
        </w:rPr>
        <w:t xml:space="preserve"> </w:t>
      </w:r>
      <w:r w:rsidRPr="00F07BC3">
        <w:rPr>
          <w:lang w:val="en-IE"/>
        </w:rPr>
        <w:tab/>
        <w:t xml:space="preserve">Amnesty International Hungary et al. </w:t>
      </w:r>
      <w:r w:rsidRPr="006373AD">
        <w:rPr>
          <w:lang w:val="en-IE"/>
        </w:rPr>
        <w:t>(2026), pp. 27-28.</w:t>
      </w:r>
    </w:p>
  </w:footnote>
  <w:footnote w:id="45">
    <w:p w14:paraId="56BDAA10" w14:textId="024C4860" w:rsidR="00FC0AF3" w:rsidRPr="005E2C60" w:rsidRDefault="00FC0AF3" w:rsidP="00FC0AF3">
      <w:pPr>
        <w:pStyle w:val="FootnoteText"/>
        <w:rPr>
          <w:lang w:val="en-IE"/>
        </w:rPr>
      </w:pPr>
      <w:r>
        <w:rPr>
          <w:rStyle w:val="FootnoteReference"/>
        </w:rPr>
        <w:footnoteRef/>
      </w:r>
      <w:r>
        <w:t xml:space="preserve"> </w:t>
      </w:r>
      <w:r>
        <w:rPr>
          <w:lang w:val="en-IE"/>
        </w:rPr>
        <w:tab/>
      </w:r>
      <w:r w:rsidRPr="005E2C60">
        <w:rPr>
          <w:lang w:val="en-IE"/>
        </w:rPr>
        <w:t>Act XLIX of 2025</w:t>
      </w:r>
      <w:r>
        <w:rPr>
          <w:lang w:val="en-IE"/>
        </w:rPr>
        <w:t xml:space="preserve"> introducing Sections 591/A to 591/H to </w:t>
      </w:r>
      <w:r w:rsidR="00DB5998">
        <w:rPr>
          <w:lang w:val="en-IE"/>
        </w:rPr>
        <w:t>the Civil Procedure Code</w:t>
      </w:r>
      <w:r>
        <w:rPr>
          <w:lang w:val="en-IE"/>
        </w:rPr>
        <w:t xml:space="preserve">. </w:t>
      </w:r>
      <w:r w:rsidRPr="00B97467">
        <w:rPr>
          <w:lang w:val="en-IE"/>
        </w:rPr>
        <w:t>With a few exceptions where the rules of the simplified proceedings do not apply (</w:t>
      </w:r>
      <w:r>
        <w:rPr>
          <w:lang w:val="en-IE"/>
        </w:rPr>
        <w:t>e.g.</w:t>
      </w:r>
      <w:r w:rsidRPr="00B97467">
        <w:rPr>
          <w:lang w:val="en-IE"/>
        </w:rPr>
        <w:t xml:space="preserve"> disputes </w:t>
      </w:r>
      <w:r>
        <w:rPr>
          <w:lang w:val="en-IE"/>
        </w:rPr>
        <w:t>on</w:t>
      </w:r>
      <w:r w:rsidRPr="00B97467">
        <w:rPr>
          <w:lang w:val="en-IE"/>
        </w:rPr>
        <w:t xml:space="preserve"> personal status, employment relationships, and consumer disputes), the parties themselves may decide to stipulate in their contract that their legal dispute shall be decided by the court in this procedure. In the simplified proceedings, thanks to specific rules, the court delivers its judgment within a short period of time, based on</w:t>
      </w:r>
      <w:r>
        <w:rPr>
          <w:lang w:val="en-IE"/>
        </w:rPr>
        <w:t xml:space="preserve"> written pleadings or additional written submissions and evidence</w:t>
      </w:r>
      <w:r w:rsidRPr="00B97467">
        <w:rPr>
          <w:lang w:val="en-IE"/>
        </w:rPr>
        <w:t>.</w:t>
      </w:r>
      <w:r>
        <w:rPr>
          <w:lang w:val="en-IE"/>
        </w:rPr>
        <w:t xml:space="preserve"> </w:t>
      </w:r>
      <w:r w:rsidRPr="007E1E09">
        <w:rPr>
          <w:lang w:val="en-IE"/>
        </w:rPr>
        <w:t>Hungarian Government (2026), written input, p. 13</w:t>
      </w:r>
      <w:r>
        <w:rPr>
          <w:lang w:val="en-IE"/>
        </w:rPr>
        <w:t>.</w:t>
      </w:r>
    </w:p>
  </w:footnote>
  <w:footnote w:id="46">
    <w:p w14:paraId="45321056" w14:textId="14C4D7E7" w:rsidR="00FC0AF3" w:rsidRPr="007E3512" w:rsidRDefault="00FC0AF3" w:rsidP="00FC0AF3">
      <w:pPr>
        <w:pStyle w:val="FootnoteText"/>
        <w:rPr>
          <w:lang w:val="en-IE"/>
        </w:rPr>
      </w:pPr>
      <w:r>
        <w:rPr>
          <w:rStyle w:val="FootnoteReference"/>
        </w:rPr>
        <w:footnoteRef/>
      </w:r>
      <w:r>
        <w:t xml:space="preserve"> </w:t>
      </w:r>
      <w:r>
        <w:rPr>
          <w:lang w:val="en-IE"/>
        </w:rPr>
        <w:tab/>
      </w:r>
      <w:r w:rsidRPr="00950FDC">
        <w:rPr>
          <w:lang w:val="en-IE"/>
        </w:rPr>
        <w:t xml:space="preserve">ECtHR judgment in </w:t>
      </w:r>
      <w:r w:rsidRPr="007E3512">
        <w:rPr>
          <w:i/>
          <w:lang w:val="en-IE"/>
        </w:rPr>
        <w:t>Szaxon v Hungary</w:t>
      </w:r>
      <w:r w:rsidRPr="00950FDC">
        <w:rPr>
          <w:lang w:val="en-IE"/>
        </w:rPr>
        <w:t>, application no. 54421/21, 30 March 2023. The amount of pecuniary satisfaction is HUF 400 (around EUR 1</w:t>
      </w:r>
      <w:r w:rsidR="00C44FA5">
        <w:rPr>
          <w:lang w:val="en-IE"/>
        </w:rPr>
        <w:t>.1</w:t>
      </w:r>
      <w:r w:rsidRPr="00950FDC">
        <w:rPr>
          <w:lang w:val="en-IE"/>
        </w:rPr>
        <w:t>) per day.</w:t>
      </w:r>
    </w:p>
  </w:footnote>
  <w:footnote w:id="47">
    <w:p w14:paraId="2CA99BFE" w14:textId="77777777" w:rsidR="00FC0AF3" w:rsidRPr="00E03C3C" w:rsidRDefault="00FC0AF3" w:rsidP="00FC0AF3">
      <w:pPr>
        <w:pStyle w:val="FootnoteText"/>
      </w:pPr>
      <w:r>
        <w:rPr>
          <w:rStyle w:val="FootnoteReference"/>
        </w:rPr>
        <w:footnoteRef/>
      </w:r>
      <w:r>
        <w:t xml:space="preserve"> </w:t>
      </w:r>
      <w:r>
        <w:tab/>
      </w:r>
      <w:r w:rsidRPr="00E03C3C">
        <w:t>Act XLIX of 2025.</w:t>
      </w:r>
    </w:p>
  </w:footnote>
  <w:footnote w:id="48">
    <w:p w14:paraId="01D23692" w14:textId="0B1341FC" w:rsidR="00FC0AF3" w:rsidRPr="00DD6AAB" w:rsidRDefault="00FC0AF3" w:rsidP="00FC0AF3">
      <w:pPr>
        <w:pStyle w:val="FootnoteText"/>
      </w:pPr>
      <w:r>
        <w:rPr>
          <w:rStyle w:val="FootnoteReference"/>
        </w:rPr>
        <w:footnoteRef/>
      </w:r>
      <w:r>
        <w:t xml:space="preserve"> </w:t>
      </w:r>
      <w:r>
        <w:tab/>
      </w:r>
      <w:r w:rsidRPr="005256B1">
        <w:t>Hungarian Government (2026), written input, p</w:t>
      </w:r>
      <w:r>
        <w:t xml:space="preserve">. 13. </w:t>
      </w:r>
      <w:r>
        <w:rPr>
          <w:lang w:val="en-IE"/>
        </w:rPr>
        <w:t>The amount of the daily lump sum is currently HUF 4 842 (around EUR 1</w:t>
      </w:r>
      <w:r w:rsidR="00D85572">
        <w:rPr>
          <w:lang w:val="en-IE"/>
        </w:rPr>
        <w:t>4</w:t>
      </w:r>
      <w:r>
        <w:rPr>
          <w:lang w:val="en-IE"/>
        </w:rPr>
        <w:t>).</w:t>
      </w:r>
    </w:p>
  </w:footnote>
  <w:footnote w:id="49">
    <w:p w14:paraId="7884239A" w14:textId="77777777" w:rsidR="00FC0AF3" w:rsidRPr="0088140D" w:rsidRDefault="00FC0AF3" w:rsidP="00FC0AF3">
      <w:pPr>
        <w:pStyle w:val="FootnoteText"/>
        <w:rPr>
          <w:lang w:val="en-IE"/>
        </w:rPr>
      </w:pPr>
      <w:r w:rsidRPr="00320C8D">
        <w:rPr>
          <w:rStyle w:val="FootnoteReference"/>
        </w:rPr>
        <w:footnoteRef/>
      </w:r>
      <w:r w:rsidRPr="00E01316">
        <w:rPr>
          <w:lang w:val="en-IE"/>
        </w:rPr>
        <w:t xml:space="preserve"> </w:t>
      </w:r>
      <w:r w:rsidRPr="00E01316">
        <w:rPr>
          <w:lang w:val="en-IE"/>
        </w:rPr>
        <w:tab/>
      </w:r>
      <w:r w:rsidRPr="00320C8D">
        <w:rPr>
          <w:lang w:val="en-IE"/>
        </w:rPr>
        <w:t>According to stakeholders, these new rules may allow court managers to put judges under undue pressure (</w:t>
      </w:r>
      <w:r w:rsidRPr="00E01316">
        <w:rPr>
          <w:lang w:val="en-IE"/>
        </w:rPr>
        <w:t xml:space="preserve">Amnesty International Hungary et al. </w:t>
      </w:r>
      <w:r w:rsidRPr="00320C8D">
        <w:t>(2026), p. 24. See also MEDEL (2026), p. 10).</w:t>
      </w:r>
    </w:p>
  </w:footnote>
  <w:footnote w:id="50">
    <w:p w14:paraId="0056BD5E" w14:textId="77777777" w:rsidR="00FC0AF3" w:rsidRPr="007E3512" w:rsidRDefault="00FC0AF3" w:rsidP="00FC0AF3">
      <w:pPr>
        <w:pStyle w:val="FootnoteText"/>
        <w:rPr>
          <w:lang w:val="en-IE"/>
        </w:rPr>
      </w:pPr>
      <w:r>
        <w:rPr>
          <w:rStyle w:val="FootnoteReference"/>
        </w:rPr>
        <w:footnoteRef/>
      </w:r>
      <w:r>
        <w:t xml:space="preserve"> </w:t>
      </w:r>
      <w:r>
        <w:rPr>
          <w:lang w:val="en-IE"/>
        </w:rPr>
        <w:tab/>
      </w:r>
      <w:r w:rsidRPr="00EC4AB5">
        <w:rPr>
          <w:lang w:val="en-IE"/>
        </w:rPr>
        <w:t>CM/Del/Dec(2026)1553/H46-23</w:t>
      </w:r>
      <w:r>
        <w:rPr>
          <w:lang w:val="en-IE"/>
        </w:rPr>
        <w:t>.</w:t>
      </w:r>
    </w:p>
  </w:footnote>
  <w:footnote w:id="51">
    <w:p w14:paraId="1AAB7147" w14:textId="77777777" w:rsidR="00FC0AF3" w:rsidRPr="006536D8" w:rsidRDefault="00FC0AF3" w:rsidP="00FC0AF3">
      <w:pPr>
        <w:pStyle w:val="FootnoteText"/>
      </w:pPr>
      <w:r w:rsidRPr="0040079D">
        <w:rPr>
          <w:rStyle w:val="FootnoteReference"/>
        </w:rPr>
        <w:footnoteRef/>
      </w:r>
      <w:r w:rsidRPr="0040079D">
        <w:rPr>
          <w:rStyle w:val="FootnoteReference"/>
        </w:rPr>
        <w:t xml:space="preserve"> </w:t>
      </w:r>
      <w:r>
        <w:tab/>
      </w:r>
      <w:r w:rsidRPr="0040079D">
        <w:t>The level of perceived corruption is categorised as follows: low (above 79); relatively low (between 79-60), relatively high (between 59-50), high (below 50).</w:t>
      </w:r>
    </w:p>
  </w:footnote>
  <w:footnote w:id="52">
    <w:p w14:paraId="3E257820" w14:textId="77777777" w:rsidR="00FC0AF3" w:rsidRPr="006536D8" w:rsidRDefault="00FC0AF3" w:rsidP="00FC0AF3">
      <w:pPr>
        <w:pStyle w:val="FootnoteText"/>
      </w:pPr>
      <w:r w:rsidRPr="006536D8">
        <w:rPr>
          <w:rStyle w:val="FootnoteReference"/>
        </w:rPr>
        <w:footnoteRef/>
      </w:r>
      <w:r w:rsidRPr="006536D8">
        <w:t xml:space="preserve"> </w:t>
      </w:r>
      <w:r>
        <w:tab/>
      </w:r>
      <w:r w:rsidRPr="006536D8">
        <w:t>In 202</w:t>
      </w:r>
      <w:r>
        <w:t>1</w:t>
      </w:r>
      <w:r w:rsidRPr="006536D8">
        <w:t>, the score was 4</w:t>
      </w:r>
      <w:r>
        <w:t>3</w:t>
      </w:r>
      <w:r w:rsidRPr="006536D8">
        <w:t>, while, in 202</w:t>
      </w:r>
      <w:r>
        <w:t>5</w:t>
      </w:r>
      <w:r w:rsidRPr="006536D8">
        <w:t>, the score is 4</w:t>
      </w:r>
      <w:r>
        <w:t>0</w:t>
      </w:r>
      <w:r w:rsidRPr="006536D8">
        <w:t>. The score significantly increases/decreases when it changes more than five points; improves/deteriorates (changes between 4-5 points) and is relatively stable (changes from 1-3 points) in the last five years.</w:t>
      </w:r>
    </w:p>
  </w:footnote>
  <w:footnote w:id="53">
    <w:p w14:paraId="3E7E48D6" w14:textId="77777777" w:rsidR="00FC0AF3" w:rsidRPr="006536D8" w:rsidRDefault="00FC0AF3" w:rsidP="00FC0AF3">
      <w:pPr>
        <w:pStyle w:val="FootnoteText"/>
      </w:pPr>
      <w:r w:rsidRPr="006536D8">
        <w:rPr>
          <w:rStyle w:val="FootnoteReference"/>
        </w:rPr>
        <w:footnoteRef/>
      </w:r>
      <w:r w:rsidRPr="006536D8">
        <w:t xml:space="preserve"> </w:t>
      </w:r>
      <w:r>
        <w:tab/>
      </w:r>
      <w:r w:rsidRPr="006536D8">
        <w:t>Data from Special Eurobarometer 561 (2025) and Flash Eurobarometer 557 (2025).</w:t>
      </w:r>
    </w:p>
  </w:footnote>
  <w:footnote w:id="54">
    <w:p w14:paraId="0F0AFD39" w14:textId="77777777" w:rsidR="00342CE8" w:rsidRPr="008E3398" w:rsidRDefault="00342CE8" w:rsidP="00342CE8">
      <w:pPr>
        <w:pStyle w:val="FootnoteText"/>
        <w:rPr>
          <w:lang w:val="en-IE"/>
        </w:rPr>
      </w:pPr>
      <w:r>
        <w:rPr>
          <w:rStyle w:val="FootnoteReference"/>
        </w:rPr>
        <w:footnoteRef/>
      </w:r>
      <w:r>
        <w:tab/>
      </w:r>
      <w:r w:rsidRPr="002C244B">
        <w:t>Council Implementing Decision (EU) 2022/2506 of 15 December 2022.</w:t>
      </w:r>
    </w:p>
  </w:footnote>
  <w:footnote w:id="55">
    <w:p w14:paraId="33A12310" w14:textId="0AC33FE9" w:rsidR="00342CE8" w:rsidRPr="008E3398" w:rsidRDefault="00342CE8" w:rsidP="00342CE8">
      <w:pPr>
        <w:pStyle w:val="FootnoteText"/>
        <w:rPr>
          <w:lang w:val="en-IE"/>
        </w:rPr>
      </w:pPr>
      <w:r>
        <w:rPr>
          <w:rStyle w:val="FootnoteReference"/>
        </w:rPr>
        <w:footnoteRef/>
      </w:r>
      <w:r>
        <w:tab/>
        <w:t xml:space="preserve">Act XVIII of 2026 </w:t>
      </w:r>
      <w:r w:rsidRPr="00082166">
        <w:t>on the amendment of certain Acts necessary for accessing European Union funds</w:t>
      </w:r>
      <w:r w:rsidR="00A614A9">
        <w:t>.</w:t>
      </w:r>
    </w:p>
  </w:footnote>
  <w:footnote w:id="56">
    <w:p w14:paraId="47CAEEDC" w14:textId="77777777" w:rsidR="00342CE8" w:rsidRPr="008E3398" w:rsidRDefault="00342CE8" w:rsidP="00342CE8">
      <w:pPr>
        <w:pStyle w:val="FootnoteText"/>
        <w:rPr>
          <w:lang w:val="en-IE"/>
        </w:rPr>
      </w:pPr>
      <w:r>
        <w:rPr>
          <w:rStyle w:val="FootnoteReference"/>
        </w:rPr>
        <w:footnoteRef/>
      </w:r>
      <w:r>
        <w:tab/>
      </w:r>
      <w:r w:rsidRPr="004C0E46">
        <w:t>The assessments included in this country chapter do not prejudge any future assessment under Regulation (EU, Euratom) 2020/2092, Article 24 of Regulation (EU) 2021/241, or under Article 15 of Regulation (EU) 2021/1060.</w:t>
      </w:r>
    </w:p>
  </w:footnote>
  <w:footnote w:id="57">
    <w:p w14:paraId="0DBD044D" w14:textId="77777777" w:rsidR="00FC0AF3" w:rsidRPr="006536D8" w:rsidRDefault="00FC0AF3" w:rsidP="00FC0AF3">
      <w:pPr>
        <w:pStyle w:val="FootnoteText"/>
      </w:pPr>
      <w:r w:rsidRPr="006536D8">
        <w:rPr>
          <w:rStyle w:val="FootnoteReference"/>
        </w:rPr>
        <w:footnoteRef/>
      </w:r>
      <w:r w:rsidRPr="006536D8">
        <w:t xml:space="preserve"> </w:t>
      </w:r>
      <w:r>
        <w:tab/>
      </w:r>
      <w:r w:rsidRPr="006536D8">
        <w:t xml:space="preserve">Information based on data available in the Monitoring Matrix for </w:t>
      </w:r>
      <w:r>
        <w:t>Q4</w:t>
      </w:r>
      <w:r w:rsidRPr="006536D8">
        <w:t xml:space="preserve"> 2025. Hungarian Government (2026), written input, p.</w:t>
      </w:r>
      <w:r>
        <w:t xml:space="preserve"> </w:t>
      </w:r>
      <w:r w:rsidRPr="006536D8">
        <w:t>21. The deadline for implementation of the Strategy was set at 30</w:t>
      </w:r>
      <w:r>
        <w:t xml:space="preserve"> November </w:t>
      </w:r>
      <w:r w:rsidRPr="006536D8">
        <w:t xml:space="preserve">2025. </w:t>
      </w:r>
    </w:p>
  </w:footnote>
  <w:footnote w:id="58">
    <w:p w14:paraId="275AA72F" w14:textId="77777777" w:rsidR="00FC0AF3" w:rsidRPr="006536D8" w:rsidRDefault="00FC0AF3" w:rsidP="00FC0AF3">
      <w:pPr>
        <w:pStyle w:val="FootnoteText"/>
      </w:pPr>
      <w:r w:rsidRPr="006536D8">
        <w:rPr>
          <w:rStyle w:val="FootnoteReference"/>
        </w:rPr>
        <w:footnoteRef/>
      </w:r>
      <w:r w:rsidRPr="006536D8">
        <w:t xml:space="preserve"> </w:t>
      </w:r>
      <w:r>
        <w:tab/>
      </w:r>
      <w:r w:rsidRPr="006536D8">
        <w:t xml:space="preserve">Monitoring Matrix. </w:t>
      </w:r>
    </w:p>
  </w:footnote>
  <w:footnote w:id="59">
    <w:p w14:paraId="5BCC8C2A" w14:textId="77777777" w:rsidR="00FC0AF3" w:rsidRPr="006536D8" w:rsidRDefault="00FC0AF3" w:rsidP="00FC0AF3">
      <w:pPr>
        <w:pStyle w:val="FootnoteText"/>
      </w:pPr>
      <w:r w:rsidRPr="006536D8">
        <w:rPr>
          <w:rStyle w:val="FootnoteReference"/>
        </w:rPr>
        <w:footnoteRef/>
      </w:r>
      <w:r w:rsidRPr="006536D8">
        <w:t xml:space="preserve"> </w:t>
      </w:r>
      <w:r>
        <w:tab/>
      </w:r>
      <w:r w:rsidRPr="006536D8">
        <w:t xml:space="preserve">Hungarian Government (2026), written input, </w:t>
      </w:r>
      <w:r>
        <w:t>pp. 21-22.</w:t>
      </w:r>
      <w:r w:rsidRPr="00874DA3">
        <w:rPr>
          <w:rFonts w:eastAsia="Calibri"/>
          <w:kern w:val="2"/>
          <w14:ligatures w14:val="standardContextual"/>
        </w:rPr>
        <w:t xml:space="preserve"> </w:t>
      </w:r>
      <w:r w:rsidRPr="006536D8">
        <w:rPr>
          <w:rFonts w:eastAsia="Calibri"/>
          <w:kern w:val="2"/>
          <w14:ligatures w14:val="standardContextual"/>
        </w:rPr>
        <w:t>Two evaluation reports are also under preparation as regards the implementation of the 2024 Strategy against Fraud and Corruption involving EU Funds</w:t>
      </w:r>
      <w:r>
        <w:rPr>
          <w:rFonts w:eastAsia="Calibri"/>
          <w:kern w:val="2"/>
          <w14:ligatures w14:val="standardContextual"/>
        </w:rPr>
        <w:t>.</w:t>
      </w:r>
    </w:p>
  </w:footnote>
  <w:footnote w:id="60">
    <w:p w14:paraId="512A1C25" w14:textId="74D63F72" w:rsidR="00FC0AF3" w:rsidRPr="006536D8" w:rsidRDefault="00FC0AF3" w:rsidP="00FC0AF3">
      <w:pPr>
        <w:pStyle w:val="FootnoteText"/>
      </w:pPr>
      <w:r w:rsidRPr="006536D8">
        <w:rPr>
          <w:rStyle w:val="FootnoteReference"/>
        </w:rPr>
        <w:footnoteRef/>
      </w:r>
      <w:r w:rsidRPr="006536D8">
        <w:t xml:space="preserve"> </w:t>
      </w:r>
      <w:r>
        <w:tab/>
      </w:r>
      <w:r w:rsidRPr="006536D8">
        <w:t>Country visit</w:t>
      </w:r>
      <w:r>
        <w:t xml:space="preserve"> Hungary</w:t>
      </w:r>
      <w:r w:rsidRPr="006536D8">
        <w:t xml:space="preserve">, Integrity Authority. The IA’s latest annual report to Parliament refers specifically to the personal income tax and beneficial owner databases; the Integrated Portal-based Query System (IPL), ensuring access to the registers managed by Ministry of Interior’s Deputy State Secretariat for the Management of Registers; data provision by financial institutions maintaining accounts; civil status data to identify relatives; company registry; the Prime Minister’s Office’s Electronic Public Procurement System, the public procurement database and EUPR (System of European Union Programmes) database; the Hungarian State Treasury’s Integrated Administration and Control System (IACS) insolvency registers. </w:t>
      </w:r>
    </w:p>
  </w:footnote>
  <w:footnote w:id="61">
    <w:p w14:paraId="09A2FDA7" w14:textId="4E4CFD3A" w:rsidR="00596B08" w:rsidRPr="002E37EC" w:rsidRDefault="00596B08">
      <w:pPr>
        <w:pStyle w:val="FootnoteText"/>
        <w:rPr>
          <w:lang w:val="en-IE"/>
        </w:rPr>
      </w:pPr>
      <w:r>
        <w:rPr>
          <w:rStyle w:val="FootnoteReference"/>
        </w:rPr>
        <w:footnoteRef/>
      </w:r>
      <w:r>
        <w:tab/>
      </w:r>
      <w:r w:rsidR="00CD2579">
        <w:t xml:space="preserve">Such access may be ensured upon request or through direct </w:t>
      </w:r>
      <w:r w:rsidR="00EF2595">
        <w:t>data connection.</w:t>
      </w:r>
      <w:r w:rsidR="009827B7">
        <w:t xml:space="preserve"> The legislation also obliges data controllers </w:t>
      </w:r>
      <w:r w:rsidR="00571FC0">
        <w:t>to comply with the Authority’s request for data</w:t>
      </w:r>
      <w:r w:rsidR="00DC67A3">
        <w:t xml:space="preserve"> and in case </w:t>
      </w:r>
      <w:r w:rsidR="00011C80">
        <w:t>they</w:t>
      </w:r>
      <w:r w:rsidR="00E34409">
        <w:t xml:space="preserve"> fail to do so</w:t>
      </w:r>
      <w:r w:rsidR="001A65AF">
        <w:t xml:space="preserve">, </w:t>
      </w:r>
      <w:r w:rsidR="00361400">
        <w:t xml:space="preserve">it envisages that </w:t>
      </w:r>
      <w:r w:rsidR="001A65AF">
        <w:t>the Integrity Authority may bring a</w:t>
      </w:r>
      <w:r w:rsidR="00E34409">
        <w:t xml:space="preserve">n administrative non-compliance action. </w:t>
      </w:r>
    </w:p>
  </w:footnote>
  <w:footnote w:id="62">
    <w:p w14:paraId="2CA8F353" w14:textId="7A9B6EBC" w:rsidR="00482BBC" w:rsidRPr="006A4103" w:rsidRDefault="00482BBC">
      <w:pPr>
        <w:pStyle w:val="FootnoteText"/>
        <w:rPr>
          <w:lang w:val="bg-BG"/>
        </w:rPr>
      </w:pPr>
      <w:r>
        <w:rPr>
          <w:rStyle w:val="FootnoteReference"/>
        </w:rPr>
        <w:footnoteRef/>
      </w:r>
      <w:r>
        <w:tab/>
      </w:r>
      <w:r w:rsidR="00B7212F">
        <w:t>Section</w:t>
      </w:r>
      <w:r>
        <w:t xml:space="preserve"> </w:t>
      </w:r>
      <w:r w:rsidR="002F1F2E">
        <w:t>35(2)</w:t>
      </w:r>
      <w:r w:rsidR="00307FF7" w:rsidRPr="00307FF7">
        <w:t xml:space="preserve"> </w:t>
      </w:r>
      <w:r w:rsidR="00307FF7">
        <w:t>of the Integrity Authority Act.</w:t>
      </w:r>
    </w:p>
  </w:footnote>
  <w:footnote w:id="63">
    <w:p w14:paraId="19779BA8" w14:textId="3F40C908" w:rsidR="00B0520D" w:rsidRPr="002F7E17" w:rsidRDefault="00B0520D">
      <w:pPr>
        <w:pStyle w:val="FootnoteText"/>
        <w:rPr>
          <w:lang w:val="en-IE"/>
        </w:rPr>
      </w:pPr>
      <w:r>
        <w:rPr>
          <w:rStyle w:val="FootnoteReference"/>
        </w:rPr>
        <w:footnoteRef/>
      </w:r>
      <w:r>
        <w:tab/>
      </w:r>
      <w:r w:rsidR="00B7212F">
        <w:t>Section</w:t>
      </w:r>
      <w:r w:rsidR="00EF12B4">
        <w:t xml:space="preserve"> 32(1) </w:t>
      </w:r>
      <w:r w:rsidR="00184EBE">
        <w:t xml:space="preserve">of the Integrity Authority Act. </w:t>
      </w:r>
      <w:r w:rsidR="002768E2">
        <w:t>Furthermore,</w:t>
      </w:r>
      <w:r w:rsidR="004F7C17">
        <w:t xml:space="preserve"> the amended</w:t>
      </w:r>
      <w:r w:rsidR="002768E2">
        <w:t xml:space="preserve"> </w:t>
      </w:r>
      <w:r w:rsidR="00D62E5A">
        <w:t>Section</w:t>
      </w:r>
      <w:r w:rsidR="00931008">
        <w:t xml:space="preserve"> 34</w:t>
      </w:r>
      <w:r w:rsidR="00C3088C">
        <w:t xml:space="preserve">(2) </w:t>
      </w:r>
      <w:r w:rsidR="000023CB">
        <w:t>of th</w:t>
      </w:r>
      <w:r w:rsidR="00B46A10">
        <w:t>at</w:t>
      </w:r>
      <w:r w:rsidR="000023CB">
        <w:t xml:space="preserve"> </w:t>
      </w:r>
      <w:r w:rsidR="007D4942">
        <w:t xml:space="preserve">Act </w:t>
      </w:r>
      <w:r w:rsidR="00FE5084">
        <w:t>defines the decision-making power</w:t>
      </w:r>
      <w:r w:rsidR="00787C3E">
        <w:t>s</w:t>
      </w:r>
      <w:r w:rsidR="00FE5084">
        <w:t xml:space="preserve"> of the </w:t>
      </w:r>
      <w:r w:rsidR="004F7C17">
        <w:t>Board of the Authority</w:t>
      </w:r>
      <w:r w:rsidR="00787C3E">
        <w:t xml:space="preserve">, alongside those of the </w:t>
      </w:r>
      <w:r w:rsidR="00DA4B86">
        <w:t xml:space="preserve">President. </w:t>
      </w:r>
    </w:p>
  </w:footnote>
  <w:footnote w:id="64">
    <w:p w14:paraId="17098505" w14:textId="336D0C5A" w:rsidR="00236D5A" w:rsidRPr="00D671D2" w:rsidRDefault="00236D5A" w:rsidP="00236D5A">
      <w:pPr>
        <w:pStyle w:val="FootnoteText"/>
        <w:rPr>
          <w:lang w:val="en-IE"/>
        </w:rPr>
      </w:pPr>
      <w:r>
        <w:rPr>
          <w:rStyle w:val="FootnoteReference"/>
        </w:rPr>
        <w:footnoteRef/>
      </w:r>
      <w:r>
        <w:t xml:space="preserve"> </w:t>
      </w:r>
      <w:r w:rsidRPr="00D671D2">
        <w:rPr>
          <w:lang w:val="en-IE"/>
        </w:rPr>
        <w:tab/>
      </w:r>
      <w:r w:rsidRPr="0009074B">
        <w:rPr>
          <w:rFonts w:eastAsia="Calibri"/>
          <w:kern w:val="2"/>
          <w14:ligatures w14:val="standardContextual"/>
        </w:rPr>
        <w:t>According to the State Audit Office, these charges would disqualify</w:t>
      </w:r>
      <w:r w:rsidR="00446072">
        <w:rPr>
          <w:rFonts w:eastAsia="Calibri"/>
          <w:kern w:val="2"/>
          <w14:ligatures w14:val="standardContextual"/>
        </w:rPr>
        <w:t xml:space="preserve"> </w:t>
      </w:r>
      <w:r w:rsidRPr="0009074B">
        <w:rPr>
          <w:rFonts w:eastAsia="Calibri"/>
          <w:kern w:val="2"/>
          <w14:ligatures w14:val="standardContextual"/>
        </w:rPr>
        <w:t>the IA President from holding the position</w:t>
      </w:r>
      <w:r>
        <w:rPr>
          <w:rFonts w:eastAsia="Calibri"/>
          <w:kern w:val="2"/>
          <w14:ligatures w14:val="standardContextual"/>
        </w:rPr>
        <w:t xml:space="preserve">. </w:t>
      </w:r>
      <w:r>
        <w:rPr>
          <w:lang w:val="en-IE"/>
        </w:rPr>
        <w:t xml:space="preserve">News item of the prosecution service of 9 June 2026. </w:t>
      </w:r>
      <w:r w:rsidR="00C30648">
        <w:rPr>
          <w:lang w:val="en-IE"/>
        </w:rPr>
        <w:t>24.hu (2026)</w:t>
      </w:r>
      <w:r w:rsidR="00266679">
        <w:rPr>
          <w:lang w:val="en-IE"/>
        </w:rPr>
        <w:t>.</w:t>
      </w:r>
      <w:r>
        <w:rPr>
          <w:lang w:val="en-IE"/>
        </w:rPr>
        <w:t xml:space="preserve"> </w:t>
      </w:r>
      <w:r w:rsidR="007A5F0E">
        <w:rPr>
          <w:rFonts w:eastAsia="Calibri"/>
          <w:kern w:val="2"/>
          <w14:ligatures w14:val="standardContextual"/>
        </w:rPr>
        <w:t>Stakeholders expressed concerns that t</w:t>
      </w:r>
      <w:r w:rsidR="007A5F0E" w:rsidDel="007D3B61">
        <w:rPr>
          <w:rFonts w:eastAsia="Calibri"/>
          <w:kern w:val="2"/>
          <w14:ligatures w14:val="standardContextual"/>
        </w:rPr>
        <w:t>h</w:t>
      </w:r>
      <w:r w:rsidR="007A5F0E">
        <w:rPr>
          <w:rFonts w:eastAsia="Calibri"/>
          <w:kern w:val="2"/>
          <w14:ligatures w14:val="standardContextual"/>
        </w:rPr>
        <w:t xml:space="preserve">e uncertainty </w:t>
      </w:r>
      <w:r w:rsidR="007A5F0E" w:rsidRPr="06F7AFF9">
        <w:rPr>
          <w:rFonts w:eastAsia="Calibri"/>
        </w:rPr>
        <w:t>due to the fourteen-month</w:t>
      </w:r>
      <w:r w:rsidR="007A5F0E">
        <w:rPr>
          <w:rFonts w:eastAsia="Calibri"/>
        </w:rPr>
        <w:t>-</w:t>
      </w:r>
      <w:r w:rsidR="007A5F0E" w:rsidRPr="06F7AFF9">
        <w:rPr>
          <w:rFonts w:eastAsia="Calibri"/>
        </w:rPr>
        <w:t>long</w:t>
      </w:r>
      <w:r w:rsidR="007A5F0E">
        <w:rPr>
          <w:rFonts w:eastAsia="Calibri"/>
          <w:kern w:val="2"/>
          <w14:ligatures w14:val="standardContextual"/>
        </w:rPr>
        <w:t xml:space="preserve"> investigation</w:t>
      </w:r>
      <w:r w:rsidR="007A5F0E" w:rsidRPr="06F7AFF9">
        <w:rPr>
          <w:rFonts w:eastAsia="Calibri"/>
        </w:rPr>
        <w:t xml:space="preserve"> </w:t>
      </w:r>
      <w:r w:rsidR="007A5F0E">
        <w:rPr>
          <w:rFonts w:eastAsia="Calibri"/>
          <w:kern w:val="2"/>
          <w14:ligatures w14:val="standardContextual"/>
        </w:rPr>
        <w:t xml:space="preserve">may </w:t>
      </w:r>
      <w:r w:rsidR="007A5F0E" w:rsidRPr="06F7AFF9">
        <w:rPr>
          <w:rFonts w:eastAsia="Calibri"/>
        </w:rPr>
        <w:t xml:space="preserve">have </w:t>
      </w:r>
      <w:r w:rsidR="007A5F0E">
        <w:rPr>
          <w:rFonts w:eastAsia="Calibri"/>
          <w:kern w:val="2"/>
          <w14:ligatures w14:val="standardContextual"/>
        </w:rPr>
        <w:t>negatively impacted the effective functioning of the IA.</w:t>
      </w:r>
      <w:r w:rsidR="007A5F0E" w:rsidRPr="001D2856">
        <w:rPr>
          <w:lang w:val="en-IE"/>
        </w:rPr>
        <w:t xml:space="preserve"> </w:t>
      </w:r>
      <w:r w:rsidR="007A5F0E" w:rsidRPr="007B47EC">
        <w:rPr>
          <w:lang w:val="sv-SE"/>
        </w:rPr>
        <w:t>Amnesty International Hungary et al. (2026), p. 54</w:t>
      </w:r>
      <w:r w:rsidR="00CC33FB" w:rsidRPr="007B47EC">
        <w:rPr>
          <w:lang w:val="sv-SE"/>
        </w:rPr>
        <w:t>.</w:t>
      </w:r>
    </w:p>
  </w:footnote>
  <w:footnote w:id="65">
    <w:p w14:paraId="62913108" w14:textId="77777777" w:rsidR="00FC0AF3" w:rsidRPr="006536D8" w:rsidRDefault="00FC0AF3" w:rsidP="00FC0AF3">
      <w:pPr>
        <w:pStyle w:val="FootnoteText"/>
      </w:pPr>
      <w:r w:rsidRPr="006536D8">
        <w:rPr>
          <w:rStyle w:val="FootnoteReference"/>
        </w:rPr>
        <w:footnoteRef/>
      </w:r>
      <w:r w:rsidRPr="006536D8">
        <w:t xml:space="preserve"> </w:t>
      </w:r>
      <w:r>
        <w:tab/>
      </w:r>
      <w:r w:rsidRPr="006536D8">
        <w:t xml:space="preserve">The recommendations concern proposals affecting the operation of the institutional system responsible for monitoring EU funds, market concentration analysis, enhancing competition in public procurement (anti-competitive solutions / single-bidder procedures / sham bidding) and centralised public procurement. </w:t>
      </w:r>
      <w:r>
        <w:t>Integrity Authority (2025). This marks a substantial decrease compared with the uptake of recommendations in the second annual analytical integrity report. See 2025 Rule of Law Report, Hungary, p. 12.</w:t>
      </w:r>
    </w:p>
  </w:footnote>
  <w:footnote w:id="66">
    <w:p w14:paraId="7712E249" w14:textId="77777777" w:rsidR="00FC0AF3" w:rsidRPr="00374526" w:rsidRDefault="00FC0AF3" w:rsidP="00FC0AF3">
      <w:pPr>
        <w:pStyle w:val="FootnoteText"/>
      </w:pPr>
      <w:r>
        <w:rPr>
          <w:rStyle w:val="FootnoteReference"/>
        </w:rPr>
        <w:footnoteRef/>
      </w:r>
      <w:r>
        <w:t xml:space="preserve"> </w:t>
      </w:r>
      <w:r>
        <w:tab/>
      </w:r>
      <w:r w:rsidRPr="005A4DC9">
        <w:t>Country visit Hungary, Integrity Authority.</w:t>
      </w:r>
    </w:p>
  </w:footnote>
  <w:footnote w:id="67">
    <w:p w14:paraId="2A7FF751" w14:textId="77777777" w:rsidR="00FC0AF3" w:rsidRPr="006536D8" w:rsidRDefault="00FC0AF3" w:rsidP="00FC0AF3">
      <w:pPr>
        <w:pStyle w:val="FootnoteText"/>
      </w:pPr>
      <w:r w:rsidRPr="006536D8">
        <w:rPr>
          <w:rStyle w:val="FootnoteReference"/>
        </w:rPr>
        <w:footnoteRef/>
      </w:r>
      <w:r w:rsidRPr="006536D8">
        <w:t xml:space="preserve"> </w:t>
      </w:r>
      <w:r>
        <w:tab/>
        <w:t>In line with</w:t>
      </w:r>
      <w:r w:rsidRPr="006536D8">
        <w:t xml:space="preserve"> the Integrity Authority Act, the </w:t>
      </w:r>
      <w:r w:rsidRPr="00C131CB">
        <w:t>functioning of the IA and its board</w:t>
      </w:r>
      <w:r w:rsidRPr="006536D8">
        <w:t xml:space="preserve"> is subject to a review two years after the appointment of the members of the board. </w:t>
      </w:r>
    </w:p>
  </w:footnote>
  <w:footnote w:id="68">
    <w:p w14:paraId="4CAEC9DB" w14:textId="77777777" w:rsidR="00CB4A1B" w:rsidRPr="00E3735C" w:rsidRDefault="00CB4A1B" w:rsidP="00CB4A1B">
      <w:pPr>
        <w:pStyle w:val="FootnoteText"/>
        <w:rPr>
          <w:lang w:val="en-IE"/>
        </w:rPr>
      </w:pPr>
      <w:r>
        <w:rPr>
          <w:rStyle w:val="FootnoteReference"/>
        </w:rPr>
        <w:footnoteRef/>
      </w:r>
      <w:r>
        <w:tab/>
        <w:t>ACTF (2026).</w:t>
      </w:r>
    </w:p>
  </w:footnote>
  <w:footnote w:id="69">
    <w:p w14:paraId="5F53D4B2" w14:textId="77777777" w:rsidR="00FC0AF3" w:rsidRPr="006536D8" w:rsidRDefault="00FC0AF3" w:rsidP="00FC0AF3">
      <w:pPr>
        <w:pStyle w:val="FootnoteText"/>
      </w:pPr>
      <w:r w:rsidRPr="006536D8">
        <w:rPr>
          <w:rStyle w:val="FootnoteReference"/>
        </w:rPr>
        <w:footnoteRef/>
      </w:r>
      <w:r w:rsidRPr="00E3735C">
        <w:rPr>
          <w:lang w:val="en-IE"/>
        </w:rPr>
        <w:t xml:space="preserve"> </w:t>
      </w:r>
      <w:r w:rsidRPr="00E3735C">
        <w:rPr>
          <w:lang w:val="en-IE"/>
        </w:rPr>
        <w:tab/>
        <w:t xml:space="preserve">Amnesty International Hungary et al. </w:t>
      </w:r>
      <w:r w:rsidRPr="00B52623">
        <w:rPr>
          <w:lang w:val="en-IE"/>
        </w:rPr>
        <w:t>(2026), p</w:t>
      </w:r>
      <w:r>
        <w:rPr>
          <w:lang w:val="en-IE"/>
        </w:rPr>
        <w:t>p.38-39</w:t>
      </w:r>
      <w:r w:rsidRPr="006536D8">
        <w:t xml:space="preserve">. See </w:t>
      </w:r>
      <w:r>
        <w:t xml:space="preserve">also </w:t>
      </w:r>
      <w:r w:rsidRPr="006536D8">
        <w:t>ACTF (202</w:t>
      </w:r>
      <w:r>
        <w:t>6</w:t>
      </w:r>
      <w:r w:rsidRPr="006536D8">
        <w:t>).</w:t>
      </w:r>
      <w:r>
        <w:t xml:space="preserve"> </w:t>
      </w:r>
    </w:p>
  </w:footnote>
  <w:footnote w:id="70">
    <w:p w14:paraId="2E139A2A" w14:textId="0BED804D" w:rsidR="00FC0AF3" w:rsidRPr="006536D8" w:rsidRDefault="00FC0AF3" w:rsidP="00FC0AF3">
      <w:pPr>
        <w:pStyle w:val="FootnoteText"/>
      </w:pPr>
      <w:r w:rsidRPr="006536D8">
        <w:rPr>
          <w:rStyle w:val="FootnoteReference"/>
        </w:rPr>
        <w:footnoteRef/>
      </w:r>
      <w:r w:rsidRPr="006536D8">
        <w:t xml:space="preserve"> </w:t>
      </w:r>
      <w:r>
        <w:tab/>
      </w:r>
      <w:r w:rsidRPr="006536D8">
        <w:t xml:space="preserve">According to </w:t>
      </w:r>
      <w:r w:rsidR="0067571B">
        <w:t>the Integrity Authority Act</w:t>
      </w:r>
      <w:r w:rsidRPr="006536D8">
        <w:t>, the ACTF must adopt its annual report by 15 March of the year following the year in question. The Government is then required to discuss the conclusions and proposals made in it and</w:t>
      </w:r>
      <w:r w:rsidRPr="006536D8">
        <w:rPr>
          <w:rFonts w:asciiTheme="minorHAnsi" w:hAnsiTheme="minorHAnsi"/>
          <w:sz w:val="22"/>
          <w:szCs w:val="22"/>
        </w:rPr>
        <w:t xml:space="preserve"> </w:t>
      </w:r>
      <w:r w:rsidRPr="006536D8">
        <w:t xml:space="preserve">send a detailed reasoning to the chair of the ACTF, if it decides not to implement a proposal. In the absence an adopted report for 2024, </w:t>
      </w:r>
      <w:r>
        <w:t xml:space="preserve">due to disagreement </w:t>
      </w:r>
      <w:r w:rsidRPr="006536D8">
        <w:rPr>
          <w:rFonts w:eastAsia="Calibri"/>
          <w:kern w:val="2"/>
          <w14:ligatures w14:val="standardContextual"/>
        </w:rPr>
        <w:t>between state and non-governmental members</w:t>
      </w:r>
      <w:r>
        <w:rPr>
          <w:rFonts w:eastAsia="Calibri"/>
          <w:kern w:val="2"/>
          <w14:ligatures w14:val="standardContextual"/>
        </w:rPr>
        <w:t>,</w:t>
      </w:r>
      <w:r w:rsidRPr="006536D8">
        <w:t xml:space="preserve"> this did not occur. </w:t>
      </w:r>
    </w:p>
  </w:footnote>
  <w:footnote w:id="71">
    <w:p w14:paraId="410E0D82" w14:textId="77777777" w:rsidR="00FC0AF3" w:rsidRPr="006536D8" w:rsidRDefault="00FC0AF3" w:rsidP="00FC0AF3">
      <w:pPr>
        <w:pStyle w:val="FootnoteText"/>
      </w:pPr>
      <w:r w:rsidRPr="006536D8">
        <w:rPr>
          <w:rStyle w:val="FootnoteReference"/>
        </w:rPr>
        <w:footnoteRef/>
      </w:r>
      <w:r w:rsidRPr="006536D8">
        <w:t xml:space="preserve"> </w:t>
      </w:r>
      <w:r>
        <w:tab/>
      </w:r>
      <w:r w:rsidRPr="006536D8">
        <w:t>Hungarian Government (2026), written input, pp.</w:t>
      </w:r>
      <w:r>
        <w:t xml:space="preserve"> </w:t>
      </w:r>
      <w:r w:rsidRPr="006536D8">
        <w:t>19-20</w:t>
      </w:r>
      <w:r w:rsidRPr="002C0C4F">
        <w:t xml:space="preserve">. </w:t>
      </w:r>
      <w:r w:rsidRPr="002C0C4F">
        <w:rPr>
          <w:lang w:val="sv-SE"/>
        </w:rPr>
        <w:t xml:space="preserve">Amnesty International Hungary et al. </w:t>
      </w:r>
      <w:r w:rsidRPr="00C67504">
        <w:t>(2026)</w:t>
      </w:r>
      <w:r w:rsidRPr="002C0C4F">
        <w:t>, pp.</w:t>
      </w:r>
      <w:r>
        <w:t xml:space="preserve"> </w:t>
      </w:r>
      <w:r w:rsidRPr="002C0C4F">
        <w:t>38-39.</w:t>
      </w:r>
      <w:r>
        <w:t xml:space="preserve"> </w:t>
      </w:r>
      <w:r>
        <w:rPr>
          <w:rFonts w:eastAsia="Calibri"/>
          <w:kern w:val="2"/>
          <w14:ligatures w14:val="standardContextual"/>
        </w:rPr>
        <w:t>P</w:t>
      </w:r>
      <w:r w:rsidRPr="006536D8">
        <w:rPr>
          <w:rFonts w:eastAsia="Calibri"/>
          <w:kern w:val="2"/>
          <w14:ligatures w14:val="standardContextual"/>
        </w:rPr>
        <w:t xml:space="preserve">ermanent sub-groups will be replaced by </w:t>
      </w:r>
      <w:r w:rsidRPr="006536D8">
        <w:rPr>
          <w:rFonts w:eastAsia="Calibri"/>
          <w:i/>
          <w:iCs/>
          <w:kern w:val="2"/>
          <w14:ligatures w14:val="standardContextual"/>
        </w:rPr>
        <w:t>ad hoc</w:t>
      </w:r>
      <w:r w:rsidRPr="006536D8">
        <w:rPr>
          <w:rFonts w:eastAsia="Calibri"/>
          <w:kern w:val="2"/>
          <w14:ligatures w14:val="standardContextual"/>
        </w:rPr>
        <w:t xml:space="preserve"> expert committees</w:t>
      </w:r>
      <w:r>
        <w:rPr>
          <w:rFonts w:eastAsia="Calibri"/>
          <w:kern w:val="2"/>
          <w14:ligatures w14:val="standardContextual"/>
        </w:rPr>
        <w:t>.</w:t>
      </w:r>
      <w:r w:rsidRPr="006536D8">
        <w:rPr>
          <w:rFonts w:eastAsia="Calibri"/>
          <w:kern w:val="2"/>
          <w14:ligatures w14:val="standardContextual"/>
        </w:rPr>
        <w:t xml:space="preserve"> </w:t>
      </w:r>
      <w:r w:rsidRPr="009A08DA">
        <w:t>The first thematic report will cover education and awareness-raising to prevent corruption, whereas public procurement processes, prosecution of corruption and access to information will not be covered</w:t>
      </w:r>
      <w:r>
        <w:t>.</w:t>
      </w:r>
    </w:p>
  </w:footnote>
  <w:footnote w:id="72">
    <w:p w14:paraId="5328FC4F" w14:textId="77777777" w:rsidR="00FC0AF3" w:rsidRPr="006536D8" w:rsidRDefault="00FC0AF3" w:rsidP="00FC0AF3">
      <w:pPr>
        <w:pStyle w:val="FootnoteText"/>
      </w:pPr>
      <w:r w:rsidRPr="006536D8">
        <w:rPr>
          <w:rStyle w:val="FootnoteReference"/>
        </w:rPr>
        <w:footnoteRef/>
      </w:r>
      <w:r w:rsidRPr="006536D8">
        <w:t xml:space="preserve"> </w:t>
      </w:r>
      <w:r>
        <w:tab/>
      </w:r>
      <w:r w:rsidRPr="006536D8">
        <w:t>Hungarian Government (2026), written input, p. 37. In 2024, 80 cases were received, of which 7 motions for revision were upheld.</w:t>
      </w:r>
    </w:p>
  </w:footnote>
  <w:footnote w:id="73">
    <w:p w14:paraId="6664327F" w14:textId="77777777" w:rsidR="00FC0AF3" w:rsidRPr="005E2042" w:rsidRDefault="00FC0AF3" w:rsidP="00FC0AF3">
      <w:pPr>
        <w:pStyle w:val="FootnoteText"/>
        <w:rPr>
          <w:lang w:val="en-IE"/>
        </w:rPr>
      </w:pPr>
      <w:r>
        <w:rPr>
          <w:rStyle w:val="FootnoteReference"/>
        </w:rPr>
        <w:footnoteRef/>
      </w:r>
      <w:r>
        <w:t xml:space="preserve"> </w:t>
      </w:r>
      <w:r>
        <w:tab/>
      </w:r>
      <w:r w:rsidRPr="006536D8">
        <w:t>Hungarian Government (2026), written input,</w:t>
      </w:r>
      <w:r>
        <w:t xml:space="preserve"> p. 36. </w:t>
      </w:r>
    </w:p>
  </w:footnote>
  <w:footnote w:id="74">
    <w:p w14:paraId="2CF21D23" w14:textId="77777777" w:rsidR="00FC0AF3" w:rsidRPr="00B52623" w:rsidRDefault="00FC0AF3" w:rsidP="00FC0AF3">
      <w:pPr>
        <w:pStyle w:val="FootnoteText"/>
        <w:rPr>
          <w:lang w:val="en-IE"/>
        </w:rPr>
      </w:pPr>
      <w:r w:rsidRPr="00B52623">
        <w:rPr>
          <w:rStyle w:val="FootnoteReference"/>
          <w:lang w:val="en-IE"/>
        </w:rPr>
        <w:footnoteRef/>
      </w:r>
      <w:r w:rsidRPr="00892826">
        <w:rPr>
          <w:lang w:val="sv-SE"/>
        </w:rPr>
        <w:t xml:space="preserve"> </w:t>
      </w:r>
      <w:r w:rsidRPr="00892826">
        <w:rPr>
          <w:lang w:val="sv-SE"/>
        </w:rPr>
        <w:tab/>
        <w:t xml:space="preserve">Amnesty International Hungary et al. </w:t>
      </w:r>
      <w:r w:rsidRPr="00B52623">
        <w:rPr>
          <w:lang w:val="en-IE"/>
        </w:rPr>
        <w:t>(2026), p. 51. See also K-Monitor (2025).</w:t>
      </w:r>
    </w:p>
  </w:footnote>
  <w:footnote w:id="75">
    <w:p w14:paraId="23EDCFF0" w14:textId="502BA4A8" w:rsidR="00090644" w:rsidRPr="00090644" w:rsidRDefault="00090644">
      <w:pPr>
        <w:pStyle w:val="FootnoteText"/>
        <w:rPr>
          <w:lang w:val="en-IE"/>
        </w:rPr>
      </w:pPr>
      <w:r>
        <w:rPr>
          <w:rStyle w:val="FootnoteReference"/>
        </w:rPr>
        <w:footnoteRef/>
      </w:r>
      <w:r>
        <w:tab/>
        <w:t xml:space="preserve">The new provisions </w:t>
      </w:r>
      <w:r w:rsidRPr="00090644">
        <w:t xml:space="preserve">require </w:t>
      </w:r>
      <w:r w:rsidR="00D146C1">
        <w:t>the investigative authorities concerned</w:t>
      </w:r>
      <w:r w:rsidR="00D146C1" w:rsidRPr="00090644">
        <w:t xml:space="preserve"> </w:t>
      </w:r>
      <w:r w:rsidR="00D146C1">
        <w:t xml:space="preserve">to make </w:t>
      </w:r>
      <w:r w:rsidRPr="00090644">
        <w:t xml:space="preserve">efforts to eliminate the deficiencies identified </w:t>
      </w:r>
      <w:r>
        <w:t>by the court</w:t>
      </w:r>
      <w:r w:rsidRPr="00090644">
        <w:t xml:space="preserve"> </w:t>
      </w:r>
      <w:r w:rsidR="00110174">
        <w:t>and</w:t>
      </w:r>
      <w:r w:rsidRPr="00090644">
        <w:t xml:space="preserve"> </w:t>
      </w:r>
      <w:r w:rsidR="00320EA6">
        <w:t>to</w:t>
      </w:r>
      <w:r w:rsidRPr="00090644">
        <w:t xml:space="preserve"> effectively </w:t>
      </w:r>
      <w:r w:rsidR="00320EA6">
        <w:t>remedy the</w:t>
      </w:r>
      <w:r w:rsidR="00820C36">
        <w:t>m</w:t>
      </w:r>
      <w:r>
        <w:t xml:space="preserve">. </w:t>
      </w:r>
    </w:p>
  </w:footnote>
  <w:footnote w:id="76">
    <w:p w14:paraId="46018A0A" w14:textId="0F915AC3" w:rsidR="00403ED2" w:rsidRPr="00B473B5" w:rsidRDefault="00403ED2">
      <w:pPr>
        <w:pStyle w:val="FootnoteText"/>
        <w:rPr>
          <w:lang w:val="bg-BG"/>
        </w:rPr>
      </w:pPr>
      <w:r>
        <w:rPr>
          <w:rStyle w:val="FootnoteReference"/>
        </w:rPr>
        <w:footnoteRef/>
      </w:r>
      <w:r>
        <w:rPr>
          <w:lang w:val="bg-BG"/>
        </w:rPr>
        <w:tab/>
      </w:r>
      <w:r w:rsidRPr="00B473B5">
        <w:rPr>
          <w:lang w:val="en-IE"/>
        </w:rPr>
        <w:t>Prior to</w:t>
      </w:r>
      <w:r>
        <w:rPr>
          <w:lang w:val="en-IE"/>
        </w:rPr>
        <w:t xml:space="preserve"> the amendments</w:t>
      </w:r>
      <w:r w:rsidR="00A3725E">
        <w:rPr>
          <w:lang w:val="en-IE"/>
        </w:rPr>
        <w:t xml:space="preserve">, the IA could only access </w:t>
      </w:r>
      <w:r w:rsidR="002A61E0">
        <w:rPr>
          <w:lang w:val="en-IE"/>
        </w:rPr>
        <w:t>an</w:t>
      </w:r>
      <w:r>
        <w:rPr>
          <w:lang w:eastAsia="en-GB"/>
        </w:rPr>
        <w:t xml:space="preserve"> anonymised decision of the investigative authorities</w:t>
      </w:r>
      <w:r w:rsidR="002A61E0">
        <w:rPr>
          <w:lang w:eastAsia="en-GB"/>
        </w:rPr>
        <w:t>.</w:t>
      </w:r>
    </w:p>
  </w:footnote>
  <w:footnote w:id="77">
    <w:p w14:paraId="493A3F20" w14:textId="77777777" w:rsidR="00FC0AF3" w:rsidRPr="00CF1786" w:rsidRDefault="00FC0AF3" w:rsidP="00FC0AF3">
      <w:pPr>
        <w:pStyle w:val="FootnoteText"/>
      </w:pPr>
      <w:r>
        <w:rPr>
          <w:rStyle w:val="FootnoteReference"/>
        </w:rPr>
        <w:footnoteRef/>
      </w:r>
      <w:r>
        <w:t xml:space="preserve"> </w:t>
      </w:r>
      <w:r>
        <w:tab/>
      </w:r>
      <w:r w:rsidRPr="00AE0685">
        <w:t xml:space="preserve">Hungarian Government (2026), written input, </w:t>
      </w:r>
      <w:r>
        <w:t>p. 36. See 2023 Rule of Law Report, Hungary, p. 13.</w:t>
      </w:r>
    </w:p>
  </w:footnote>
  <w:footnote w:id="78">
    <w:p w14:paraId="5A9485EA" w14:textId="7DC0BD4B" w:rsidR="00FC0AF3" w:rsidRPr="006536D8" w:rsidRDefault="00FC0AF3" w:rsidP="00FC0AF3">
      <w:pPr>
        <w:pStyle w:val="FootnoteText"/>
      </w:pPr>
      <w:r w:rsidRPr="006536D8">
        <w:rPr>
          <w:rStyle w:val="FootnoteReference"/>
        </w:rPr>
        <w:footnoteRef/>
      </w:r>
      <w:r w:rsidRPr="006536D8">
        <w:t xml:space="preserve"> </w:t>
      </w:r>
      <w:r>
        <w:tab/>
      </w:r>
      <w:r w:rsidRPr="006536D8">
        <w:t>Hungarian Government (2026), written input, p.</w:t>
      </w:r>
      <w:r>
        <w:t xml:space="preserve"> </w:t>
      </w:r>
      <w:r w:rsidRPr="006536D8">
        <w:t xml:space="preserve">16. </w:t>
      </w:r>
      <w:r w:rsidR="005E75E0">
        <w:t>Section</w:t>
      </w:r>
      <w:r w:rsidR="00E95BB1">
        <w:t xml:space="preserve"> </w:t>
      </w:r>
      <w:r w:rsidRPr="006536D8">
        <w:t xml:space="preserve">182 of Act XLIX of 2025, as well as </w:t>
      </w:r>
      <w:r w:rsidR="00FD114F">
        <w:t>Section</w:t>
      </w:r>
      <w:r w:rsidR="00FD114F" w:rsidRPr="006536D8">
        <w:t xml:space="preserve"> </w:t>
      </w:r>
      <w:r w:rsidRPr="006536D8">
        <w:t xml:space="preserve">3 of Government Decree 388/2025 of 10 December 2025 on the Amendment of Government Decrees concerning criminal law matters. </w:t>
      </w:r>
    </w:p>
  </w:footnote>
  <w:footnote w:id="79">
    <w:p w14:paraId="0EE2534D" w14:textId="4AFC32FE" w:rsidR="00FC0AF3" w:rsidRPr="006536D8" w:rsidRDefault="00FC0AF3" w:rsidP="00FC0AF3">
      <w:pPr>
        <w:pStyle w:val="FootnoteText"/>
      </w:pPr>
      <w:r w:rsidRPr="006536D8">
        <w:rPr>
          <w:rStyle w:val="FootnoteReference"/>
        </w:rPr>
        <w:footnoteRef/>
      </w:r>
      <w:r w:rsidRPr="006536D8">
        <w:t xml:space="preserve"> </w:t>
      </w:r>
      <w:r>
        <w:tab/>
      </w:r>
      <w:r w:rsidRPr="006536D8">
        <w:t xml:space="preserve">Country visit Hungary, prosecution </w:t>
      </w:r>
      <w:r>
        <w:t>service</w:t>
      </w:r>
      <w:r w:rsidRPr="006536D8">
        <w:t xml:space="preserve">. </w:t>
      </w:r>
      <w:r>
        <w:t xml:space="preserve">‘Protected staff’ covers the range of bodies and personnel for which the NPS is competent. It includes law enforcement, public education and state healthcare institutions, </w:t>
      </w:r>
      <w:r w:rsidRPr="00F04F98">
        <w:t>employees of territorial government administration bodies</w:t>
      </w:r>
      <w:r>
        <w:t xml:space="preserve"> and several other authorities. See </w:t>
      </w:r>
      <w:r w:rsidRPr="006536D8">
        <w:t xml:space="preserve">Hungarian Government (2026), written input, </w:t>
      </w:r>
      <w:r>
        <w:t xml:space="preserve">p.15. </w:t>
      </w:r>
    </w:p>
  </w:footnote>
  <w:footnote w:id="80">
    <w:p w14:paraId="1BA27D07" w14:textId="77777777" w:rsidR="00FC0AF3" w:rsidRPr="006536D8" w:rsidRDefault="00FC0AF3" w:rsidP="00FC0AF3">
      <w:pPr>
        <w:pStyle w:val="FootnoteText"/>
      </w:pPr>
      <w:r w:rsidRPr="006536D8">
        <w:rPr>
          <w:rStyle w:val="FootnoteReference"/>
        </w:rPr>
        <w:footnoteRef/>
      </w:r>
      <w:r w:rsidRPr="006536D8">
        <w:t xml:space="preserve"> </w:t>
      </w:r>
      <w:r>
        <w:tab/>
      </w:r>
      <w:r w:rsidRPr="005B0269">
        <w:t xml:space="preserve">Judgment of the ECtHR, 15147/23 and 38303/23, </w:t>
      </w:r>
      <w:r w:rsidRPr="00892826">
        <w:rPr>
          <w:i/>
          <w:iCs/>
        </w:rPr>
        <w:t>Szelényi and Others v Hungary</w:t>
      </w:r>
      <w:r w:rsidRPr="005B0269">
        <w:t>.</w:t>
      </w:r>
      <w:r>
        <w:t xml:space="preserve"> See pillar IV.</w:t>
      </w:r>
    </w:p>
  </w:footnote>
  <w:footnote w:id="81">
    <w:p w14:paraId="43A33708" w14:textId="15DA8E0D" w:rsidR="00FC0AF3" w:rsidRPr="006536D8" w:rsidRDefault="00FC0AF3" w:rsidP="00FC0AF3">
      <w:pPr>
        <w:pStyle w:val="FootnoteText"/>
      </w:pPr>
      <w:r w:rsidRPr="006536D8">
        <w:rPr>
          <w:rStyle w:val="FootnoteReference"/>
        </w:rPr>
        <w:footnoteRef/>
      </w:r>
      <w:r w:rsidRPr="006536D8">
        <w:t xml:space="preserve"> </w:t>
      </w:r>
      <w:r>
        <w:tab/>
      </w:r>
      <w:r w:rsidRPr="006536D8">
        <w:t>Hungarian Government (2026), written input, pp.</w:t>
      </w:r>
      <w:r>
        <w:t xml:space="preserve"> </w:t>
      </w:r>
      <w:r w:rsidRPr="006536D8">
        <w:t xml:space="preserve">22-23. </w:t>
      </w:r>
      <w:r w:rsidR="00931936" w:rsidRPr="00931936">
        <w:t>With regard to the National Tax and Customs Administration, the program is currently being developed (in collaboration with the relevant departments</w:t>
      </w:r>
      <w:r w:rsidR="00931936">
        <w:t>).</w:t>
      </w:r>
    </w:p>
  </w:footnote>
  <w:footnote w:id="82">
    <w:p w14:paraId="6782FE4D" w14:textId="72BCF9E5" w:rsidR="00FC0AF3" w:rsidRPr="006536D8" w:rsidRDefault="00FC0AF3" w:rsidP="00FC0AF3">
      <w:pPr>
        <w:pStyle w:val="FootnoteText"/>
      </w:pPr>
      <w:r w:rsidRPr="006536D8">
        <w:rPr>
          <w:rStyle w:val="FootnoteReference"/>
        </w:rPr>
        <w:footnoteRef/>
      </w:r>
      <w:r w:rsidRPr="006536D8">
        <w:t xml:space="preserve"> </w:t>
      </w:r>
      <w:r>
        <w:tab/>
      </w:r>
      <w:r w:rsidRPr="006536D8">
        <w:t>Country visit</w:t>
      </w:r>
      <w:r>
        <w:t>, Hungary</w:t>
      </w:r>
      <w:r w:rsidRPr="006536D8">
        <w:t xml:space="preserve">, Constitution Protection Office. </w:t>
      </w:r>
      <w:r w:rsidR="00C57381" w:rsidRPr="00C57381">
        <w:t>Reliability checks by the Constitution Protection Office are carried out on the basis of a classified authori</w:t>
      </w:r>
      <w:r w:rsidR="00F16338">
        <w:t>s</w:t>
      </w:r>
      <w:r w:rsidR="00C57381" w:rsidRPr="00C57381">
        <w:t>ation decision</w:t>
      </w:r>
      <w:r w:rsidR="00FD32AD">
        <w:t>.</w:t>
      </w:r>
    </w:p>
  </w:footnote>
  <w:footnote w:id="83">
    <w:p w14:paraId="2762CC5B" w14:textId="77777777" w:rsidR="00FC0AF3" w:rsidRPr="00892826" w:rsidRDefault="00FC0AF3" w:rsidP="00FC0AF3">
      <w:pPr>
        <w:pStyle w:val="FootnoteText"/>
        <w:rPr>
          <w:lang w:val="en-IE"/>
        </w:rPr>
      </w:pPr>
      <w:r>
        <w:rPr>
          <w:rStyle w:val="FootnoteReference"/>
        </w:rPr>
        <w:footnoteRef/>
      </w:r>
      <w:r>
        <w:t xml:space="preserve"> </w:t>
      </w:r>
      <w:r>
        <w:rPr>
          <w:lang w:val="hu-HU"/>
        </w:rPr>
        <w:tab/>
      </w:r>
      <w:r w:rsidRPr="00892826">
        <w:rPr>
          <w:lang w:val="en-IE"/>
        </w:rPr>
        <w:t xml:space="preserve">The 2025 Rule of Law Report recommended that Hungary </w:t>
      </w:r>
      <w:r w:rsidRPr="0095601D">
        <w:rPr>
          <w:lang w:val="en-IE"/>
        </w:rPr>
        <w:t xml:space="preserve">‘[e]stablish a robust track record of investigations, prosecutions and final judgments for high-level corruption cases.’ </w:t>
      </w:r>
      <w:r w:rsidRPr="00892826">
        <w:rPr>
          <w:lang w:val="en-IE"/>
        </w:rPr>
        <w:t>No progress was previously assessed on this recommendation in 2025, 2024 and 2023.</w:t>
      </w:r>
    </w:p>
  </w:footnote>
  <w:footnote w:id="84">
    <w:p w14:paraId="1446869E" w14:textId="77777777" w:rsidR="00FC0AF3" w:rsidRPr="008B0A61" w:rsidRDefault="00FC0AF3" w:rsidP="00FC0AF3">
      <w:pPr>
        <w:pStyle w:val="FootnoteText"/>
      </w:pPr>
      <w:r>
        <w:rPr>
          <w:rStyle w:val="FootnoteReference"/>
        </w:rPr>
        <w:footnoteRef/>
      </w:r>
      <w:r>
        <w:t xml:space="preserve"> </w:t>
      </w:r>
      <w:r>
        <w:tab/>
      </w:r>
      <w:r w:rsidRPr="00AE2CE6">
        <w:t>Hungarian Government (2026), written input,</w:t>
      </w:r>
      <w:r>
        <w:t xml:space="preserve"> p. 37. </w:t>
      </w:r>
    </w:p>
  </w:footnote>
  <w:footnote w:id="85">
    <w:p w14:paraId="70A720C8" w14:textId="77777777" w:rsidR="00FC0AF3" w:rsidRPr="00AA0225" w:rsidRDefault="00FC0AF3" w:rsidP="00FC0AF3">
      <w:pPr>
        <w:pStyle w:val="FootnoteText"/>
      </w:pPr>
      <w:r>
        <w:rPr>
          <w:rStyle w:val="FootnoteReference"/>
        </w:rPr>
        <w:footnoteRef/>
      </w:r>
      <w:r>
        <w:t xml:space="preserve"> </w:t>
      </w:r>
      <w:r>
        <w:tab/>
      </w:r>
      <w:r w:rsidRPr="006536D8">
        <w:t>Country visit</w:t>
      </w:r>
      <w:r>
        <w:t>, Hungary</w:t>
      </w:r>
      <w:r w:rsidRPr="006536D8">
        <w:t>,</w:t>
      </w:r>
      <w:r>
        <w:t xml:space="preserve"> written contribution from the prosecution service.</w:t>
      </w:r>
    </w:p>
  </w:footnote>
  <w:footnote w:id="86">
    <w:p w14:paraId="56A17A23" w14:textId="77777777" w:rsidR="00FC0AF3" w:rsidRPr="008162E3" w:rsidRDefault="00FC0AF3" w:rsidP="00FC0AF3">
      <w:pPr>
        <w:pStyle w:val="FootnoteText"/>
      </w:pPr>
      <w:r>
        <w:rPr>
          <w:rStyle w:val="FootnoteReference"/>
        </w:rPr>
        <w:footnoteRef/>
      </w:r>
      <w:r>
        <w:t xml:space="preserve"> </w:t>
      </w:r>
      <w:r>
        <w:tab/>
        <w:t xml:space="preserve">In a case involving a former deputy mayor, charged </w:t>
      </w:r>
      <w:r w:rsidRPr="00920022">
        <w:t xml:space="preserve">in 2010, the criminal trial began in 2016, and the final binding sentence was delivered in 2025 but was not enforced. See Amnesty International Hungary et al. (2026), pp. 50-51. See wanted notice issued by the Budapest Regional Court - 7.SZV.2638/2025/11. In the case of a former Deputy Minister of Justice, </w:t>
      </w:r>
      <w:r>
        <w:t>indicted in 2022</w:t>
      </w:r>
      <w:r w:rsidRPr="00920022">
        <w:t xml:space="preserve">, or the budgetary fraud case of a former member of Parliament, initiated in 2021, the courts have so far not reached a first-instance deliberation on the merits. </w:t>
      </w:r>
      <w:r>
        <w:t xml:space="preserve">The case of a Deputy Secretary of State, indicted in 2022, is also pending in court. </w:t>
      </w:r>
      <w:r w:rsidRPr="006536D8">
        <w:t>Country visit</w:t>
      </w:r>
      <w:r>
        <w:t>, Hungary</w:t>
      </w:r>
      <w:r w:rsidRPr="006536D8">
        <w:t>,</w:t>
      </w:r>
      <w:r>
        <w:t xml:space="preserve"> written contribution from the prosecution service. </w:t>
      </w:r>
      <w:r w:rsidRPr="00920022">
        <w:t xml:space="preserve">See </w:t>
      </w:r>
      <w:r>
        <w:t>also</w:t>
      </w:r>
      <w:r w:rsidRPr="00920022">
        <w:t xml:space="preserve"> OLAF (2026). </w:t>
      </w:r>
      <w:r w:rsidRPr="00D671D2">
        <w:rPr>
          <w:lang w:val="en-IE"/>
        </w:rPr>
        <w:t xml:space="preserve">Stakeholders raise concerns that in a recent case of misappropriation of assets held by foundations endowed by the Hungarian National Bank, key procedural steps, including interrogation of suspects, are still to be taken (Amnesty International Hungary et al. </w:t>
      </w:r>
      <w:r w:rsidRPr="00B52623">
        <w:rPr>
          <w:lang w:val="en-IE"/>
        </w:rPr>
        <w:t>(2026),</w:t>
      </w:r>
      <w:r>
        <w:rPr>
          <w:lang w:val="en-IE"/>
        </w:rPr>
        <w:t xml:space="preserve"> pp. 36, 53-54).</w:t>
      </w:r>
    </w:p>
  </w:footnote>
  <w:footnote w:id="87">
    <w:p w14:paraId="0BD776B2" w14:textId="77777777" w:rsidR="00FC0AF3" w:rsidRPr="00455EB7" w:rsidRDefault="00FC0AF3" w:rsidP="00FC0AF3">
      <w:pPr>
        <w:pStyle w:val="FootnoteText"/>
        <w:rPr>
          <w:lang w:val="en-IE"/>
        </w:rPr>
      </w:pPr>
      <w:r>
        <w:rPr>
          <w:rStyle w:val="FootnoteReference"/>
        </w:rPr>
        <w:footnoteRef/>
      </w:r>
      <w:r w:rsidRPr="00455EB7">
        <w:rPr>
          <w:lang w:val="en-IE"/>
        </w:rPr>
        <w:t xml:space="preserve"> </w:t>
      </w:r>
      <w:r w:rsidRPr="00455EB7">
        <w:rPr>
          <w:lang w:val="en-IE"/>
        </w:rPr>
        <w:tab/>
      </w:r>
      <w:r w:rsidRPr="005A4F81">
        <w:rPr>
          <w:lang w:val="en-IE"/>
        </w:rPr>
        <w:t>See 202</w:t>
      </w:r>
      <w:r>
        <w:rPr>
          <w:lang w:val="en-IE"/>
        </w:rPr>
        <w:t>5</w:t>
      </w:r>
      <w:r w:rsidRPr="005A4F81">
        <w:rPr>
          <w:lang w:val="en-IE"/>
        </w:rPr>
        <w:t xml:space="preserve"> Rule of Law report, Hungary, p. 1</w:t>
      </w:r>
      <w:r>
        <w:rPr>
          <w:lang w:val="en-IE"/>
        </w:rPr>
        <w:t>5</w:t>
      </w:r>
      <w:r w:rsidRPr="005A4F81">
        <w:rPr>
          <w:lang w:val="en-IE"/>
        </w:rPr>
        <w:t xml:space="preserve">. See also GRECO (2022), p. 6, paras. 31-35; GRECO (2023b), p. 29, para. 126, pointing at hierarchical pressure on police officers to discontinue investigations in certain sensitive cases. </w:t>
      </w:r>
      <w:r w:rsidRPr="00455EB7">
        <w:rPr>
          <w:lang w:val="en-IE"/>
        </w:rPr>
        <w:t xml:space="preserve">See also </w:t>
      </w:r>
      <w:r>
        <w:rPr>
          <w:lang w:val="en-IE"/>
        </w:rPr>
        <w:t xml:space="preserve">the reference to risks of </w:t>
      </w:r>
      <w:r w:rsidRPr="008E3CF6">
        <w:rPr>
          <w:lang w:val="en-IE"/>
        </w:rPr>
        <w:t xml:space="preserve">undue political interference in individual cases </w:t>
      </w:r>
      <w:r>
        <w:rPr>
          <w:lang w:val="en-IE"/>
        </w:rPr>
        <w:t xml:space="preserve">on pp. 4-5. See K-Monitor (2025). </w:t>
      </w:r>
    </w:p>
  </w:footnote>
  <w:footnote w:id="88">
    <w:p w14:paraId="0E9EEDA6" w14:textId="26707622" w:rsidR="001E0856" w:rsidRPr="0071055E" w:rsidRDefault="001E0856">
      <w:pPr>
        <w:pStyle w:val="FootnoteText"/>
        <w:rPr>
          <w:lang w:val="en-IE"/>
        </w:rPr>
      </w:pPr>
      <w:r>
        <w:rPr>
          <w:rStyle w:val="FootnoteReference"/>
        </w:rPr>
        <w:footnoteRef/>
      </w:r>
      <w:r>
        <w:tab/>
      </w:r>
      <w:r w:rsidR="00B20B47">
        <w:t xml:space="preserve"> </w:t>
      </w:r>
      <w:r w:rsidR="0083069B">
        <w:t>T/357.</w:t>
      </w:r>
    </w:p>
  </w:footnote>
  <w:footnote w:id="89">
    <w:p w14:paraId="63F1464E" w14:textId="0DA91CEE" w:rsidR="00FC0AF3" w:rsidRPr="001C2C2E" w:rsidRDefault="00FC0AF3" w:rsidP="00FC0AF3">
      <w:pPr>
        <w:pStyle w:val="FootnoteText"/>
      </w:pPr>
      <w:r>
        <w:rPr>
          <w:rStyle w:val="FootnoteReference"/>
        </w:rPr>
        <w:footnoteRef/>
      </w:r>
      <w:r>
        <w:t xml:space="preserve"> </w:t>
      </w:r>
      <w:r>
        <w:tab/>
        <w:t>The indictment rate of Hungary following judicial recommendations by OLAF stands at 60% (EU average 37%). OLAF (2026).</w:t>
      </w:r>
      <w:r w:rsidR="009D4E81">
        <w:t xml:space="preserve"> </w:t>
      </w:r>
    </w:p>
  </w:footnote>
  <w:footnote w:id="90">
    <w:p w14:paraId="4CB2ACAC" w14:textId="4370C926" w:rsidR="008465B5" w:rsidRPr="00191866" w:rsidRDefault="008465B5" w:rsidP="008465B5">
      <w:pPr>
        <w:pStyle w:val="FootnoteText"/>
        <w:rPr>
          <w:lang w:val="en-IE"/>
        </w:rPr>
      </w:pPr>
      <w:r>
        <w:rPr>
          <w:rStyle w:val="FootnoteReference"/>
        </w:rPr>
        <w:footnoteRef/>
      </w:r>
      <w:r>
        <w:tab/>
        <w:t xml:space="preserve">Commission Decision (EU) </w:t>
      </w:r>
      <w:r w:rsidR="006A34EF">
        <w:t xml:space="preserve">2026/1701 </w:t>
      </w:r>
      <w:r>
        <w:t xml:space="preserve">of </w:t>
      </w:r>
      <w:r w:rsidR="000E07EE" w:rsidRPr="007B47EC">
        <w:t>10</w:t>
      </w:r>
      <w:r w:rsidRPr="007B47EC">
        <w:t xml:space="preserve"> July</w:t>
      </w:r>
      <w:r>
        <w:t xml:space="preserve"> 2026 </w:t>
      </w:r>
      <w:r w:rsidRPr="00E24F5C">
        <w:t>confirming the participation of Hungary in the enhanced cooperation on the establishment of the European Public Prosecutor’s Office</w:t>
      </w:r>
      <w:r>
        <w:t xml:space="preserve">. </w:t>
      </w:r>
      <w:r w:rsidRPr="00BA422F">
        <w:rPr>
          <w:lang w:eastAsia="fr-FR"/>
        </w:rPr>
        <w:t>The EPPO will be competent to investigate and prosecute crimes affecting the Union's financial interests committed in Hungary after 1 June 2021.</w:t>
      </w:r>
      <w:r>
        <w:rPr>
          <w:lang w:eastAsia="fr-FR"/>
        </w:rPr>
        <w:t xml:space="preserve"> </w:t>
      </w:r>
    </w:p>
  </w:footnote>
  <w:footnote w:id="91">
    <w:p w14:paraId="1199B868" w14:textId="77777777" w:rsidR="00FC0AF3" w:rsidRPr="006536D8" w:rsidRDefault="00FC0AF3" w:rsidP="00FC0AF3">
      <w:pPr>
        <w:pStyle w:val="FootnoteText"/>
      </w:pPr>
      <w:r w:rsidRPr="006536D8">
        <w:rPr>
          <w:rStyle w:val="FootnoteReference"/>
        </w:rPr>
        <w:footnoteRef/>
      </w:r>
      <w:r w:rsidRPr="006536D8">
        <w:t xml:space="preserve"> </w:t>
      </w:r>
      <w:r>
        <w:tab/>
      </w:r>
      <w:r w:rsidRPr="006536D8">
        <w:t>Hungarian Government (2026), written input, pp. 34-35. Act XLIX of 2025</w:t>
      </w:r>
      <w:r>
        <w:t xml:space="preserve">. </w:t>
      </w:r>
    </w:p>
  </w:footnote>
  <w:footnote w:id="92">
    <w:p w14:paraId="51443962" w14:textId="77777777" w:rsidR="00FC0AF3" w:rsidRPr="006536D8" w:rsidRDefault="00FC0AF3" w:rsidP="00FC0AF3">
      <w:pPr>
        <w:pStyle w:val="FootnoteText"/>
      </w:pPr>
      <w:r w:rsidRPr="006536D8">
        <w:rPr>
          <w:rStyle w:val="FootnoteReference"/>
        </w:rPr>
        <w:footnoteRef/>
      </w:r>
      <w:r w:rsidRPr="006536D8">
        <w:t xml:space="preserve"> </w:t>
      </w:r>
      <w:r>
        <w:tab/>
      </w:r>
      <w:r w:rsidRPr="006536D8">
        <w:t>Decree 12/2025 (IX. 25.) of the Minister of Foreign Affairs and Trade amending Decree 31/2021 (VIII. 31.) of the Minister of Foreign Affairs and Trade on the rules of support under the Foreign Market Growth Support Program.</w:t>
      </w:r>
    </w:p>
  </w:footnote>
  <w:footnote w:id="93">
    <w:p w14:paraId="415A4901" w14:textId="77777777" w:rsidR="00FC0AF3" w:rsidRPr="006536D8" w:rsidRDefault="00FC0AF3" w:rsidP="00FC0AF3">
      <w:pPr>
        <w:pStyle w:val="FootnoteText"/>
      </w:pPr>
      <w:r w:rsidRPr="006536D8">
        <w:rPr>
          <w:rStyle w:val="FootnoteReference"/>
        </w:rPr>
        <w:footnoteRef/>
      </w:r>
      <w:r w:rsidRPr="006536D8">
        <w:t xml:space="preserve"> </w:t>
      </w:r>
      <w:r>
        <w:tab/>
      </w:r>
      <w:r w:rsidRPr="006536D8">
        <w:t>Country visit</w:t>
      </w:r>
      <w:r>
        <w:t xml:space="preserve"> Hungary</w:t>
      </w:r>
      <w:r w:rsidRPr="006536D8">
        <w:t xml:space="preserve">, prosecution service. </w:t>
      </w:r>
    </w:p>
  </w:footnote>
  <w:footnote w:id="94">
    <w:p w14:paraId="3FAF947D" w14:textId="77777777" w:rsidR="00FC0AF3" w:rsidRPr="006536D8" w:rsidRDefault="00FC0AF3" w:rsidP="00FC0AF3">
      <w:pPr>
        <w:pStyle w:val="FootnoteText"/>
      </w:pPr>
      <w:r w:rsidRPr="006536D8">
        <w:rPr>
          <w:rStyle w:val="FootnoteReference"/>
        </w:rPr>
        <w:footnoteRef/>
      </w:r>
      <w:r w:rsidRPr="006536D8">
        <w:t xml:space="preserve"> </w:t>
      </w:r>
      <w:r>
        <w:tab/>
      </w:r>
      <w:r w:rsidRPr="006536D8">
        <w:t xml:space="preserve">Monitoring Matrix. </w:t>
      </w:r>
      <w:r>
        <w:t>It was originally planned to take place by 31 December 2024.</w:t>
      </w:r>
    </w:p>
  </w:footnote>
  <w:footnote w:id="95">
    <w:p w14:paraId="7D44D384" w14:textId="682E480F" w:rsidR="00651FDF" w:rsidRPr="00FB2DF7" w:rsidRDefault="00651FDF" w:rsidP="00651FDF">
      <w:pPr>
        <w:pStyle w:val="FootnoteText"/>
        <w:rPr>
          <w:lang w:val="en-IE"/>
        </w:rPr>
      </w:pPr>
      <w:r>
        <w:rPr>
          <w:rStyle w:val="FootnoteReference"/>
        </w:rPr>
        <w:footnoteRef/>
      </w:r>
      <w:r>
        <w:tab/>
        <w:t>The 2025 Rule of Law Report recommended that Hungary ‘[…</w:t>
      </w:r>
      <w:r w:rsidRPr="00AF220E">
        <w:t>]</w:t>
      </w:r>
      <w:r>
        <w:t xml:space="preserve"> </w:t>
      </w:r>
      <w:r w:rsidRPr="00AF220E">
        <w:t>further improve the system of asset declarations, providing for effective oversight and enforcement’</w:t>
      </w:r>
      <w:r w:rsidR="00EE7926">
        <w:t>.</w:t>
      </w:r>
    </w:p>
  </w:footnote>
  <w:footnote w:id="96">
    <w:p w14:paraId="721D5CE2" w14:textId="5D9138D4" w:rsidR="002B4B08" w:rsidRPr="00005E59" w:rsidRDefault="002B4B08">
      <w:pPr>
        <w:pStyle w:val="FootnoteText"/>
        <w:rPr>
          <w:lang w:val="en-IE"/>
        </w:rPr>
      </w:pPr>
      <w:r>
        <w:rPr>
          <w:rStyle w:val="FootnoteReference"/>
        </w:rPr>
        <w:footnoteRef/>
      </w:r>
      <w:r>
        <w:tab/>
      </w:r>
      <w:r w:rsidR="00027344">
        <w:t xml:space="preserve">Senior political executives are listed in </w:t>
      </w:r>
      <w:r w:rsidR="001D501F">
        <w:t>Section</w:t>
      </w:r>
      <w:r w:rsidR="00027344">
        <w:t xml:space="preserve"> 183 of </w:t>
      </w:r>
      <w:r w:rsidR="00F616B4" w:rsidRPr="00F616B4">
        <w:t>Government</w:t>
      </w:r>
      <w:r w:rsidR="007972C6">
        <w:t xml:space="preserve"> </w:t>
      </w:r>
      <w:r w:rsidR="00F616B4" w:rsidRPr="00F616B4">
        <w:t>Administration</w:t>
      </w:r>
      <w:r w:rsidR="005B30E2">
        <w:t xml:space="preserve"> </w:t>
      </w:r>
      <w:r w:rsidR="003D1795">
        <w:t xml:space="preserve">Act </w:t>
      </w:r>
      <w:r w:rsidR="005B30E2">
        <w:t xml:space="preserve">and include </w:t>
      </w:r>
      <w:r w:rsidR="000E6CC1">
        <w:t xml:space="preserve">the Prime Minister, Ministers, Secretaries of State, </w:t>
      </w:r>
      <w:r w:rsidR="00222F67">
        <w:t>the political director of the Prime Minister</w:t>
      </w:r>
      <w:r w:rsidR="005C5C1F">
        <w:t xml:space="preserve"> and the national security adviser of the Prime Minister. </w:t>
      </w:r>
    </w:p>
  </w:footnote>
  <w:footnote w:id="97">
    <w:p w14:paraId="5FF9F8A6" w14:textId="0F43DAD8" w:rsidR="00813576" w:rsidRPr="00A8625A" w:rsidRDefault="00813576">
      <w:pPr>
        <w:pStyle w:val="FootnoteText"/>
        <w:rPr>
          <w:lang w:val="en-IE"/>
        </w:rPr>
      </w:pPr>
      <w:r>
        <w:rPr>
          <w:rStyle w:val="FootnoteReference"/>
        </w:rPr>
        <w:footnoteRef/>
      </w:r>
      <w:r w:rsidR="00F57A69">
        <w:t xml:space="preserve"> </w:t>
      </w:r>
      <w:r>
        <w:tab/>
      </w:r>
      <w:r w:rsidRPr="00A8625A">
        <w:rPr>
          <w:szCs w:val="24"/>
          <w:lang w:eastAsia="en-GB"/>
        </w:rPr>
        <w:t xml:space="preserve">Where the </w:t>
      </w:r>
      <w:r w:rsidR="00C817F8">
        <w:rPr>
          <w:szCs w:val="24"/>
          <w:lang w:eastAsia="en-GB"/>
        </w:rPr>
        <w:t>IA</w:t>
      </w:r>
      <w:r w:rsidRPr="00A8625A">
        <w:rPr>
          <w:szCs w:val="24"/>
          <w:lang w:eastAsia="en-GB"/>
        </w:rPr>
        <w:t xml:space="preserve"> may not impose a sanction itself, a competent authority that does not act on the findings of the IA is required to provide a detailed statement of reasons, which must be published.</w:t>
      </w:r>
      <w:r w:rsidR="00176835">
        <w:rPr>
          <w:szCs w:val="24"/>
          <w:lang w:eastAsia="en-GB"/>
        </w:rPr>
        <w:t xml:space="preserve"> </w:t>
      </w:r>
    </w:p>
  </w:footnote>
  <w:footnote w:id="98">
    <w:p w14:paraId="2AC9783D" w14:textId="132AB395" w:rsidR="0044061E" w:rsidRPr="004A2928" w:rsidRDefault="0044061E" w:rsidP="006F1DE1">
      <w:pPr>
        <w:pStyle w:val="FootnoteText"/>
        <w:rPr>
          <w:lang w:val="en-IE"/>
        </w:rPr>
      </w:pPr>
      <w:r>
        <w:rPr>
          <w:rStyle w:val="FootnoteReference"/>
        </w:rPr>
        <w:footnoteRef/>
      </w:r>
      <w:r>
        <w:tab/>
      </w:r>
      <w:r w:rsidR="009A6F63">
        <w:t xml:space="preserve">These legislative changes </w:t>
      </w:r>
      <w:r w:rsidR="006F1DE1">
        <w:t>increase transparency of ultimate beneficial owners of private equity funds</w:t>
      </w:r>
      <w:r w:rsidR="004F6965">
        <w:t xml:space="preserve">, facilitating </w:t>
      </w:r>
      <w:r w:rsidR="00A957A4">
        <w:t xml:space="preserve">the </w:t>
      </w:r>
      <w:r w:rsidR="004F6965">
        <w:t>detection of unjustified wealth</w:t>
      </w:r>
      <w:r w:rsidR="006F1DE1">
        <w:t>.</w:t>
      </w:r>
      <w:r w:rsidR="008B5761">
        <w:t xml:space="preserve"> See also </w:t>
      </w:r>
      <w:r w:rsidR="00A8565D" w:rsidRPr="00A8565D">
        <w:t>see 2025 Rule of Law Report, Hungary, p.</w:t>
      </w:r>
      <w:r w:rsidR="002D6898">
        <w:t>16.</w:t>
      </w:r>
    </w:p>
  </w:footnote>
  <w:footnote w:id="99">
    <w:p w14:paraId="4DE0532E" w14:textId="6838113A" w:rsidR="00FC0AF3" w:rsidRPr="0031656B" w:rsidRDefault="00FC0AF3" w:rsidP="00FC0AF3">
      <w:pPr>
        <w:pStyle w:val="FootnoteText"/>
      </w:pPr>
      <w:r>
        <w:rPr>
          <w:rStyle w:val="FootnoteReference"/>
        </w:rPr>
        <w:footnoteRef/>
      </w:r>
      <w:r>
        <w:t xml:space="preserve"> </w:t>
      </w:r>
      <w:r>
        <w:tab/>
        <w:t>The 2025 Rule of Law Report recommended that Hungary ‘[</w:t>
      </w:r>
      <w:r w:rsidRPr="00AF220E">
        <w:t>p]ut forward comprehensive legislative reforms on lobbying and revolving doors’.</w:t>
      </w:r>
      <w:r>
        <w:t xml:space="preserve"> </w:t>
      </w:r>
      <w:r w:rsidRPr="006B4AD1">
        <w:t xml:space="preserve">No progress was previously assessed on this recommendation in </w:t>
      </w:r>
      <w:r>
        <w:t xml:space="preserve">2025, </w:t>
      </w:r>
      <w:r w:rsidRPr="006B4AD1">
        <w:t>2024 and 2023.</w:t>
      </w:r>
    </w:p>
  </w:footnote>
  <w:footnote w:id="100">
    <w:p w14:paraId="31E3E866" w14:textId="77777777" w:rsidR="00FC0AF3" w:rsidRPr="006536D8" w:rsidRDefault="00FC0AF3" w:rsidP="00FC0AF3">
      <w:pPr>
        <w:pStyle w:val="FootnoteText"/>
      </w:pPr>
      <w:r w:rsidRPr="006536D8">
        <w:rPr>
          <w:rStyle w:val="FootnoteReference"/>
        </w:rPr>
        <w:footnoteRef/>
      </w:r>
      <w:r w:rsidRPr="006536D8">
        <w:t xml:space="preserve"> </w:t>
      </w:r>
      <w:r>
        <w:tab/>
      </w:r>
      <w:r w:rsidRPr="006536D8">
        <w:t>The adoption of rules on lobbying has also been recommended by GRECO. See GRECO (2023), p.</w:t>
      </w:r>
      <w:r>
        <w:t xml:space="preserve"> </w:t>
      </w:r>
      <w:r w:rsidRPr="006536D8">
        <w:t>3 and GRECO (2022), p.</w:t>
      </w:r>
      <w:r>
        <w:t xml:space="preserve"> </w:t>
      </w:r>
      <w:r w:rsidRPr="006536D8">
        <w:t xml:space="preserve">56. </w:t>
      </w:r>
    </w:p>
  </w:footnote>
  <w:footnote w:id="101">
    <w:p w14:paraId="0F575EFC" w14:textId="77777777" w:rsidR="00FC0AF3" w:rsidRPr="006536D8" w:rsidRDefault="00FC0AF3" w:rsidP="00FC0AF3">
      <w:pPr>
        <w:pStyle w:val="FootnoteText"/>
      </w:pPr>
      <w:r w:rsidRPr="006536D8">
        <w:rPr>
          <w:rStyle w:val="FootnoteReference"/>
        </w:rPr>
        <w:footnoteRef/>
      </w:r>
      <w:r w:rsidRPr="006536D8">
        <w:t xml:space="preserve"> </w:t>
      </w:r>
      <w:r>
        <w:tab/>
      </w:r>
      <w:r w:rsidRPr="00C452A9">
        <w:t>Country visit Hungary, CSOs</w:t>
      </w:r>
      <w:r w:rsidRPr="006536D8">
        <w:t xml:space="preserve">. </w:t>
      </w:r>
    </w:p>
  </w:footnote>
  <w:footnote w:id="102">
    <w:p w14:paraId="25E3996E" w14:textId="77777777" w:rsidR="00FC0AF3" w:rsidRPr="006536D8" w:rsidRDefault="00FC0AF3" w:rsidP="00FC0AF3">
      <w:pPr>
        <w:pStyle w:val="FootnoteText"/>
      </w:pPr>
      <w:r w:rsidRPr="006536D8">
        <w:rPr>
          <w:rStyle w:val="FootnoteReference"/>
        </w:rPr>
        <w:footnoteRef/>
      </w:r>
      <w:r w:rsidRPr="006536D8">
        <w:t xml:space="preserve"> </w:t>
      </w:r>
      <w:r>
        <w:tab/>
      </w:r>
      <w:r w:rsidRPr="006536D8">
        <w:t>The adoption of rules on post-employment restrictions has also been recommended by GRECO. See GRECO (2023), p.</w:t>
      </w:r>
      <w:r>
        <w:t xml:space="preserve"> </w:t>
      </w:r>
      <w:r w:rsidRPr="006536D8">
        <w:t>57.</w:t>
      </w:r>
    </w:p>
  </w:footnote>
  <w:footnote w:id="103">
    <w:p w14:paraId="2781C710" w14:textId="77777777" w:rsidR="00FC0AF3" w:rsidRPr="006536D8" w:rsidRDefault="00FC0AF3" w:rsidP="00FC0AF3">
      <w:pPr>
        <w:pStyle w:val="FootnoteText"/>
      </w:pPr>
      <w:r w:rsidRPr="006536D8">
        <w:rPr>
          <w:rStyle w:val="FootnoteReference"/>
        </w:rPr>
        <w:footnoteRef/>
      </w:r>
      <w:r w:rsidRPr="006536D8">
        <w:t xml:space="preserve"> </w:t>
      </w:r>
      <w:r>
        <w:tab/>
      </w:r>
      <w:r w:rsidRPr="00DC4017">
        <w:rPr>
          <w:lang w:val="en-IE"/>
        </w:rPr>
        <w:t xml:space="preserve">Amnesty International Hungary et al. </w:t>
      </w:r>
      <w:r w:rsidRPr="00C67504">
        <w:t>(2026)</w:t>
      </w:r>
      <w:r w:rsidRPr="006536D8">
        <w:t xml:space="preserve">, p. 42. This includes, for instance, a former Minister of Finance transitioning directly to a position as </w:t>
      </w:r>
      <w:r>
        <w:t>President</w:t>
      </w:r>
      <w:r w:rsidRPr="006536D8">
        <w:t xml:space="preserve"> of the </w:t>
      </w:r>
      <w:r>
        <w:t>Hungarian National</w:t>
      </w:r>
      <w:r w:rsidRPr="006536D8">
        <w:t xml:space="preserve"> Bank.</w:t>
      </w:r>
    </w:p>
  </w:footnote>
  <w:footnote w:id="104">
    <w:p w14:paraId="1B80DD17" w14:textId="3940BE14" w:rsidR="00790F63" w:rsidRPr="004A2928" w:rsidRDefault="00790F63">
      <w:pPr>
        <w:pStyle w:val="FootnoteText"/>
        <w:rPr>
          <w:lang w:val="en-IE"/>
        </w:rPr>
      </w:pPr>
      <w:r>
        <w:rPr>
          <w:rStyle w:val="FootnoteReference"/>
        </w:rPr>
        <w:footnoteRef/>
      </w:r>
      <w:r>
        <w:t xml:space="preserve"> </w:t>
      </w:r>
      <w:r w:rsidR="00F70787">
        <w:tab/>
      </w:r>
      <w:r w:rsidR="0089340F" w:rsidRPr="0089340F">
        <w:t>Until the dissolutions are completed, full founder</w:t>
      </w:r>
      <w:r w:rsidR="00A8625A">
        <w:t>’</w:t>
      </w:r>
      <w:r w:rsidR="0089340F" w:rsidRPr="0089340F">
        <w:t>s rights revert to the Hungarian government.</w:t>
      </w:r>
      <w:r w:rsidR="0089340F">
        <w:t xml:space="preserve"> </w:t>
      </w:r>
      <w:r>
        <w:t>A</w:t>
      </w:r>
      <w:r w:rsidRPr="00790F63">
        <w:t>ssets granted to t</w:t>
      </w:r>
      <w:r w:rsidR="0038298C">
        <w:t>he</w:t>
      </w:r>
      <w:r w:rsidRPr="00790F63">
        <w:t xml:space="preserve"> dissolved foundations</w:t>
      </w:r>
      <w:r>
        <w:t xml:space="preserve"> are</w:t>
      </w:r>
      <w:r w:rsidRPr="00790F63">
        <w:t xml:space="preserve"> </w:t>
      </w:r>
      <w:r w:rsidR="0038298C">
        <w:t xml:space="preserve">to be </w:t>
      </w:r>
      <w:r w:rsidRPr="00790F63">
        <w:t>return</w:t>
      </w:r>
      <w:r>
        <w:t>ed</w:t>
      </w:r>
      <w:r w:rsidRPr="00790F63">
        <w:t xml:space="preserve"> to the state</w:t>
      </w:r>
      <w:r>
        <w:t xml:space="preserve">. </w:t>
      </w:r>
    </w:p>
  </w:footnote>
  <w:footnote w:id="105">
    <w:p w14:paraId="7BEEF2FB" w14:textId="77777777" w:rsidR="00FC0AF3" w:rsidRPr="006536D8" w:rsidRDefault="00FC0AF3" w:rsidP="00FC0AF3">
      <w:pPr>
        <w:pStyle w:val="FootnoteText"/>
      </w:pPr>
      <w:r w:rsidRPr="006536D8">
        <w:rPr>
          <w:rStyle w:val="FootnoteReference"/>
        </w:rPr>
        <w:footnoteRef/>
      </w:r>
      <w:r w:rsidRPr="006536D8">
        <w:t xml:space="preserve"> </w:t>
      </w:r>
      <w:r>
        <w:tab/>
      </w:r>
      <w:r w:rsidRPr="006536D8">
        <w:t>Hungarian Government (2026), written input, p.</w:t>
      </w:r>
      <w:r>
        <w:t xml:space="preserve"> </w:t>
      </w:r>
      <w:r w:rsidRPr="006536D8">
        <w:t>24</w:t>
      </w:r>
      <w:r>
        <w:t>.</w:t>
      </w:r>
      <w:r w:rsidRPr="006536D8">
        <w:t xml:space="preserve"> </w:t>
      </w:r>
    </w:p>
  </w:footnote>
  <w:footnote w:id="106">
    <w:p w14:paraId="18EC88E3" w14:textId="77777777" w:rsidR="00FC0AF3" w:rsidRPr="006536D8" w:rsidRDefault="00FC0AF3" w:rsidP="00FC0AF3">
      <w:pPr>
        <w:pStyle w:val="FootnoteText"/>
      </w:pPr>
      <w:r w:rsidRPr="006536D8">
        <w:rPr>
          <w:rStyle w:val="FootnoteReference"/>
        </w:rPr>
        <w:footnoteRef/>
      </w:r>
      <w:r w:rsidRPr="006536D8">
        <w:t xml:space="preserve"> </w:t>
      </w:r>
      <w:r>
        <w:tab/>
      </w:r>
      <w:r w:rsidRPr="006536D8">
        <w:t>Under the fourth evaluation round, GRECO recommended that a code of ethics/conduct for members of parliament be adopted, covering various situations of conflicts of interest and that it be complemented by practical measures for its implementation, such as dedicated training and counselling. GRECO (2023).</w:t>
      </w:r>
    </w:p>
  </w:footnote>
  <w:footnote w:id="107">
    <w:p w14:paraId="454C3020" w14:textId="77777777" w:rsidR="00FC0AF3" w:rsidRPr="006536D8" w:rsidRDefault="00FC0AF3" w:rsidP="00FC0AF3">
      <w:pPr>
        <w:pStyle w:val="FootnoteText"/>
      </w:pPr>
      <w:r w:rsidRPr="006536D8">
        <w:rPr>
          <w:rStyle w:val="FootnoteReference"/>
        </w:rPr>
        <w:footnoteRef/>
      </w:r>
      <w:r w:rsidRPr="006536D8">
        <w:t xml:space="preserve"> </w:t>
      </w:r>
      <w:r>
        <w:tab/>
      </w:r>
      <w:r w:rsidRPr="006536D8">
        <w:t>Hungarian Government (2026), written input, p.</w:t>
      </w:r>
      <w:r>
        <w:t xml:space="preserve"> </w:t>
      </w:r>
      <w:r w:rsidRPr="006536D8">
        <w:t>25. In 2025</w:t>
      </w:r>
      <w:r>
        <w:t>,</w:t>
      </w:r>
      <w:r w:rsidRPr="006536D8">
        <w:t xml:space="preserve"> fourteen </w:t>
      </w:r>
      <w:r>
        <w:t>members of Parliament</w:t>
      </w:r>
      <w:r w:rsidRPr="006536D8">
        <w:t xml:space="preserve"> </w:t>
      </w:r>
      <w:r>
        <w:t>voluntarily</w:t>
      </w:r>
      <w:r w:rsidRPr="006536D8">
        <w:t xml:space="preserve"> correct</w:t>
      </w:r>
      <w:r>
        <w:t>ed</w:t>
      </w:r>
      <w:r w:rsidRPr="006536D8">
        <w:t xml:space="preserve"> information in their declarations </w:t>
      </w:r>
      <w:r w:rsidRPr="002F7EEE">
        <w:t>by clarifying the positions they held</w:t>
      </w:r>
      <w:r w:rsidRPr="006536D8">
        <w:t xml:space="preserve">. </w:t>
      </w:r>
      <w:r>
        <w:t>There is no mechanism in place to sanction refusals to rectify the declarations, if discrepancies are signalled or detected.</w:t>
      </w:r>
    </w:p>
  </w:footnote>
  <w:footnote w:id="108">
    <w:p w14:paraId="16DF164B" w14:textId="77777777" w:rsidR="00FC0AF3" w:rsidRPr="006536D8" w:rsidRDefault="00FC0AF3" w:rsidP="00FC0AF3">
      <w:pPr>
        <w:pStyle w:val="FootnoteText"/>
      </w:pPr>
      <w:r w:rsidRPr="006536D8">
        <w:rPr>
          <w:rStyle w:val="FootnoteReference"/>
        </w:rPr>
        <w:footnoteRef/>
      </w:r>
      <w:r w:rsidRPr="006536D8">
        <w:t xml:space="preserve"> </w:t>
      </w:r>
      <w:r>
        <w:tab/>
      </w:r>
      <w:r w:rsidRPr="006536D8">
        <w:t>Hungarian Corps of Government Officials (2025).</w:t>
      </w:r>
    </w:p>
  </w:footnote>
  <w:footnote w:id="109">
    <w:p w14:paraId="0766E67C" w14:textId="232A181D" w:rsidR="00FC0AF3" w:rsidRPr="00336C93" w:rsidRDefault="00FC0AF3" w:rsidP="00FC0AF3">
      <w:pPr>
        <w:pStyle w:val="FootnoteText"/>
        <w:rPr>
          <w:lang w:val="en-IE"/>
        </w:rPr>
      </w:pPr>
      <w:r>
        <w:rPr>
          <w:rStyle w:val="FootnoteReference"/>
        </w:rPr>
        <w:footnoteRef/>
      </w:r>
      <w:r>
        <w:t xml:space="preserve"> </w:t>
      </w:r>
      <w:r w:rsidRPr="00336C93">
        <w:rPr>
          <w:lang w:val="en-IE"/>
        </w:rPr>
        <w:tab/>
      </w:r>
      <w:r w:rsidRPr="00744FA4">
        <w:t xml:space="preserve"> Recommendation 2/2025 (XI. 5.) OBH of the NOJ President </w:t>
      </w:r>
      <w:r>
        <w:t>a</w:t>
      </w:r>
      <w:r w:rsidRPr="00744FA4">
        <w:t>mend</w:t>
      </w:r>
      <w:r>
        <w:t>ing</w:t>
      </w:r>
      <w:r w:rsidRPr="00744FA4">
        <w:t xml:space="preserve"> </w:t>
      </w:r>
      <w:r>
        <w:t>R</w:t>
      </w:r>
      <w:r w:rsidRPr="00744FA4">
        <w:t xml:space="preserve">ecommendation 3/2018 (VI. 26.) OBH of the NOJ President on the </w:t>
      </w:r>
      <w:r>
        <w:t>p</w:t>
      </w:r>
      <w:r w:rsidRPr="00744FA4">
        <w:t xml:space="preserve">rocedural </w:t>
      </w:r>
      <w:r>
        <w:t>r</w:t>
      </w:r>
      <w:r w:rsidRPr="00744FA4">
        <w:t xml:space="preserve">ules for </w:t>
      </w:r>
      <w:r>
        <w:t>h</w:t>
      </w:r>
      <w:r w:rsidRPr="00744FA4">
        <w:t xml:space="preserve">andling </w:t>
      </w:r>
      <w:r>
        <w:t>e</w:t>
      </w:r>
      <w:r w:rsidRPr="00744FA4">
        <w:t xml:space="preserve">vents that </w:t>
      </w:r>
      <w:r>
        <w:t>v</w:t>
      </w:r>
      <w:r w:rsidRPr="00744FA4">
        <w:t xml:space="preserve">iolate </w:t>
      </w:r>
      <w:r>
        <w:t>o</w:t>
      </w:r>
      <w:r w:rsidRPr="00744FA4">
        <w:t xml:space="preserve">rganisational </w:t>
      </w:r>
      <w:r>
        <w:t>i</w:t>
      </w:r>
      <w:r w:rsidRPr="00744FA4">
        <w:t xml:space="preserve">ntegrity for </w:t>
      </w:r>
      <w:r>
        <w:t>r</w:t>
      </w:r>
      <w:r w:rsidRPr="00744FA4">
        <w:t xml:space="preserve">egional </w:t>
      </w:r>
      <w:r>
        <w:t>appeal c</w:t>
      </w:r>
      <w:r w:rsidRPr="00744FA4">
        <w:t xml:space="preserve">ourts and </w:t>
      </w:r>
      <w:r>
        <w:t>r</w:t>
      </w:r>
      <w:r w:rsidRPr="00744FA4">
        <w:t xml:space="preserve">egional </w:t>
      </w:r>
      <w:r>
        <w:t>co</w:t>
      </w:r>
      <w:r w:rsidRPr="00744FA4">
        <w:t>urts</w:t>
      </w:r>
      <w:r>
        <w:t>.</w:t>
      </w:r>
    </w:p>
  </w:footnote>
  <w:footnote w:id="110">
    <w:p w14:paraId="11A4CF1C" w14:textId="77777777" w:rsidR="00FC0AF3" w:rsidRPr="00F455BA" w:rsidRDefault="00FC0AF3" w:rsidP="00FC0AF3">
      <w:pPr>
        <w:pStyle w:val="FootnoteText"/>
        <w:rPr>
          <w:lang w:val="en-IE"/>
        </w:rPr>
      </w:pPr>
      <w:r>
        <w:rPr>
          <w:rStyle w:val="FootnoteReference"/>
        </w:rPr>
        <w:footnoteRef/>
      </w:r>
      <w:r>
        <w:t xml:space="preserve"> </w:t>
      </w:r>
      <w:r>
        <w:rPr>
          <w:lang w:val="en-IE"/>
        </w:rPr>
        <w:tab/>
        <w:t>See pillar IV on the independence and effective functioning of the Commissioner for Fundamental Rights.</w:t>
      </w:r>
    </w:p>
  </w:footnote>
  <w:footnote w:id="111">
    <w:p w14:paraId="7AAA1127" w14:textId="77777777" w:rsidR="00FC0AF3" w:rsidRPr="006536D8" w:rsidRDefault="00FC0AF3" w:rsidP="00FC0AF3">
      <w:pPr>
        <w:pStyle w:val="FootnoteText"/>
      </w:pPr>
      <w:r w:rsidRPr="006536D8">
        <w:rPr>
          <w:rStyle w:val="FootnoteReference"/>
        </w:rPr>
        <w:footnoteRef/>
      </w:r>
      <w:r w:rsidRPr="006536D8">
        <w:t xml:space="preserve"> </w:t>
      </w:r>
      <w:r>
        <w:tab/>
      </w:r>
      <w:r w:rsidRPr="006536D8">
        <w:t>Commissioner for Fundamental Rights (2025).</w:t>
      </w:r>
    </w:p>
  </w:footnote>
  <w:footnote w:id="112">
    <w:p w14:paraId="48306360" w14:textId="50D79C8A" w:rsidR="007B1E27" w:rsidRPr="0050797F" w:rsidRDefault="007B1E27">
      <w:pPr>
        <w:pStyle w:val="FootnoteText"/>
        <w:rPr>
          <w:lang w:val="en-IE"/>
        </w:rPr>
      </w:pPr>
      <w:r>
        <w:rPr>
          <w:rStyle w:val="FootnoteReference"/>
        </w:rPr>
        <w:footnoteRef/>
      </w:r>
      <w:r>
        <w:tab/>
      </w:r>
      <w:r w:rsidR="00DD1598" w:rsidRPr="006536D8">
        <w:t xml:space="preserve">Hungarian Government (2026), </w:t>
      </w:r>
      <w:r w:rsidR="00DD1598">
        <w:t xml:space="preserve">additional </w:t>
      </w:r>
      <w:r w:rsidR="00DD1598" w:rsidRPr="006536D8">
        <w:t>written input</w:t>
      </w:r>
      <w:r w:rsidR="00DD1598">
        <w:t>.</w:t>
      </w:r>
    </w:p>
  </w:footnote>
  <w:footnote w:id="113">
    <w:p w14:paraId="6960F6E8" w14:textId="77777777" w:rsidR="00FC0AF3" w:rsidRPr="006536D8" w:rsidRDefault="00FC0AF3" w:rsidP="00FC0AF3">
      <w:pPr>
        <w:pStyle w:val="FootnoteText"/>
      </w:pPr>
      <w:r w:rsidRPr="006536D8">
        <w:rPr>
          <w:rStyle w:val="FootnoteReference"/>
        </w:rPr>
        <w:footnoteRef/>
      </w:r>
      <w:r w:rsidRPr="006536D8">
        <w:t xml:space="preserve"> </w:t>
      </w:r>
      <w:r>
        <w:tab/>
      </w:r>
      <w:r w:rsidRPr="006536D8">
        <w:t xml:space="preserve">Public Procurement Authority: </w:t>
      </w:r>
      <w:hyperlink r:id="rId2" w:history="1">
        <w:r w:rsidRPr="00EE3B1C">
          <w:rPr>
            <w:rStyle w:val="Hyperlink"/>
          </w:rPr>
          <w:t>Register of Public Interest Disclosures</w:t>
        </w:r>
      </w:hyperlink>
      <w:r w:rsidRPr="006536D8">
        <w:t>. Hungarian Competition Authority</w:t>
      </w:r>
      <w:r>
        <w:t xml:space="preserve"> (2025). </w:t>
      </w:r>
    </w:p>
  </w:footnote>
  <w:footnote w:id="114">
    <w:p w14:paraId="6DC9D24E" w14:textId="77777777" w:rsidR="00FC0AF3" w:rsidRPr="006536D8" w:rsidRDefault="00FC0AF3" w:rsidP="00FC0AF3">
      <w:pPr>
        <w:pStyle w:val="FootnoteText"/>
      </w:pPr>
      <w:r w:rsidRPr="006536D8">
        <w:rPr>
          <w:rStyle w:val="FootnoteReference"/>
        </w:rPr>
        <w:footnoteRef/>
      </w:r>
      <w:r w:rsidRPr="006536D8">
        <w:t xml:space="preserve"> </w:t>
      </w:r>
      <w:r>
        <w:tab/>
      </w:r>
      <w:r w:rsidRPr="006536D8">
        <w:t>Hungarian Government (2026), written input, p.</w:t>
      </w:r>
      <w:r>
        <w:t xml:space="preserve"> </w:t>
      </w:r>
      <w:r w:rsidRPr="006536D8">
        <w:t>26</w:t>
      </w:r>
      <w:r>
        <w:t>.</w:t>
      </w:r>
      <w:r w:rsidRPr="00F15E99">
        <w:t xml:space="preserve"> </w:t>
      </w:r>
      <w:r>
        <w:t xml:space="preserve">The broad public campaign on whistleblowing included in the National Anti-Corruption Strategy did not take place. </w:t>
      </w:r>
      <w:r w:rsidRPr="00F15E99">
        <w:t xml:space="preserve">The Office of the Commissioner for Fundamental Rights also prepared a phased training campaign for public administration staff and provides detailed information through its website, informational booklets, and regional offices. </w:t>
      </w:r>
    </w:p>
  </w:footnote>
  <w:footnote w:id="115">
    <w:p w14:paraId="4508A7BE" w14:textId="731F4CFD" w:rsidR="005B3345" w:rsidRPr="00D671D2" w:rsidRDefault="005B3345" w:rsidP="005B3345">
      <w:pPr>
        <w:pStyle w:val="FootnoteText"/>
      </w:pPr>
      <w:r>
        <w:rPr>
          <w:rStyle w:val="FootnoteReference"/>
        </w:rPr>
        <w:footnoteRef/>
      </w:r>
      <w:r w:rsidRPr="009258B7">
        <w:rPr>
          <w:lang w:val="da-DK"/>
        </w:rPr>
        <w:t xml:space="preserve"> </w:t>
      </w:r>
      <w:r w:rsidRPr="009258B7">
        <w:rPr>
          <w:lang w:val="da-DK"/>
        </w:rPr>
        <w:tab/>
        <w:t xml:space="preserve">Amnesty International Hungary et al. </w:t>
      </w:r>
      <w:r w:rsidRPr="00D671D2">
        <w:t xml:space="preserve">(2026), pp. 46-47. </w:t>
      </w:r>
      <w:r>
        <w:t>M</w:t>
      </w:r>
      <w:r w:rsidRPr="00DE1F81">
        <w:t xml:space="preserve">edia informants </w:t>
      </w:r>
      <w:r>
        <w:t xml:space="preserve">are protected </w:t>
      </w:r>
      <w:r w:rsidRPr="00DE1F81">
        <w:t xml:space="preserve">under the Criminal Procedure </w:t>
      </w:r>
      <w:r>
        <w:t>Code</w:t>
      </w:r>
      <w:r w:rsidRPr="00DE1F81">
        <w:t xml:space="preserve"> and the Media Act.</w:t>
      </w:r>
      <w:r>
        <w:t xml:space="preserve"> </w:t>
      </w:r>
      <w:r w:rsidRPr="006536D8">
        <w:t xml:space="preserve">Hungarian Government (2026), </w:t>
      </w:r>
      <w:r>
        <w:t xml:space="preserve">additional </w:t>
      </w:r>
      <w:r w:rsidRPr="006536D8">
        <w:t>written input</w:t>
      </w:r>
      <w:r>
        <w:t xml:space="preserve">. </w:t>
      </w:r>
    </w:p>
  </w:footnote>
  <w:footnote w:id="116">
    <w:p w14:paraId="7C692C84" w14:textId="77777777" w:rsidR="00FC0AF3" w:rsidRPr="00E07FA3" w:rsidRDefault="00FC0AF3" w:rsidP="00FC0AF3">
      <w:pPr>
        <w:pStyle w:val="FootnoteText"/>
      </w:pPr>
      <w:r>
        <w:rPr>
          <w:rStyle w:val="FootnoteReference"/>
        </w:rPr>
        <w:footnoteRef/>
      </w:r>
      <w:r>
        <w:t xml:space="preserve"> </w:t>
      </w:r>
      <w:r>
        <w:tab/>
      </w:r>
      <w:r w:rsidRPr="00536938">
        <w:t>Act LXVIII of 2025 on the amendment of Act LXXXVII of 2013 on the transparency of campaign costs for the election of Members of Parliament. The Council of Europe has recommended adopting measures to prevent excessive funding needs of political parties, such as, establishing limits on expenditure on electoral campaigns. See Article 9 of Recommendation Rec(2003)4 of the Committee of Ministers.</w:t>
      </w:r>
    </w:p>
  </w:footnote>
  <w:footnote w:id="117">
    <w:p w14:paraId="69DDCFB1" w14:textId="77777777" w:rsidR="00FC0AF3" w:rsidRPr="006536D8" w:rsidRDefault="00FC0AF3" w:rsidP="00FC0AF3">
      <w:pPr>
        <w:pStyle w:val="FootnoteText"/>
      </w:pPr>
      <w:r w:rsidRPr="006536D8">
        <w:rPr>
          <w:rStyle w:val="FootnoteReference"/>
        </w:rPr>
        <w:footnoteRef/>
      </w:r>
      <w:r w:rsidRPr="006536D8">
        <w:t xml:space="preserve"> </w:t>
      </w:r>
      <w:r>
        <w:tab/>
      </w:r>
      <w:r w:rsidRPr="006536D8">
        <w:t>See 2025 Rule of Law Report, Hungary, p.</w:t>
      </w:r>
      <w:r>
        <w:t xml:space="preserve"> </w:t>
      </w:r>
      <w:r w:rsidRPr="006536D8">
        <w:t>18</w:t>
      </w:r>
      <w:r>
        <w:t>.</w:t>
      </w:r>
    </w:p>
  </w:footnote>
  <w:footnote w:id="118">
    <w:p w14:paraId="7D75B05C" w14:textId="77777777" w:rsidR="00FC0AF3" w:rsidRPr="006536D8" w:rsidRDefault="00FC0AF3" w:rsidP="00FC0AF3">
      <w:pPr>
        <w:pStyle w:val="FootnoteText"/>
      </w:pPr>
      <w:r w:rsidRPr="009D2F1B">
        <w:rPr>
          <w:rStyle w:val="FootnoteReference"/>
        </w:rPr>
        <w:footnoteRef/>
      </w:r>
      <w:r w:rsidRPr="009D2F1B">
        <w:rPr>
          <w:lang w:val="da-DK"/>
        </w:rPr>
        <w:t xml:space="preserve"> </w:t>
      </w:r>
      <w:r w:rsidRPr="009D2F1B">
        <w:rPr>
          <w:lang w:val="da-DK"/>
        </w:rPr>
        <w:tab/>
        <w:t xml:space="preserve">Amnesty International Hungary et al. </w:t>
      </w:r>
      <w:r w:rsidRPr="00D671D2">
        <w:t xml:space="preserve">(2026), pp. 43-44. </w:t>
      </w:r>
      <w:r w:rsidRPr="009D2F1B">
        <w:t>See also 2020 Rule of Law Report, Hungary, p. 5 as regards national</w:t>
      </w:r>
      <w:r>
        <w:t xml:space="preserve"> consultations.</w:t>
      </w:r>
    </w:p>
  </w:footnote>
  <w:footnote w:id="119">
    <w:p w14:paraId="26FBAB51" w14:textId="77777777" w:rsidR="00FC0AF3" w:rsidRPr="006536D8" w:rsidRDefault="00FC0AF3" w:rsidP="00FC0AF3">
      <w:pPr>
        <w:pStyle w:val="FootnoteText"/>
      </w:pPr>
      <w:r w:rsidRPr="006536D8">
        <w:rPr>
          <w:rStyle w:val="FootnoteReference"/>
        </w:rPr>
        <w:footnoteRef/>
      </w:r>
      <w:r w:rsidRPr="006536D8">
        <w:t xml:space="preserve"> </w:t>
      </w:r>
      <w:r>
        <w:tab/>
      </w:r>
      <w:r w:rsidRPr="006536D8">
        <w:t xml:space="preserve">Act C of 2025 </w:t>
      </w:r>
      <w:r>
        <w:t>a</w:t>
      </w:r>
      <w:r w:rsidRPr="006536D8">
        <w:t>mend</w:t>
      </w:r>
      <w:r>
        <w:t>ing</w:t>
      </w:r>
      <w:r w:rsidRPr="006536D8">
        <w:t xml:space="preserve"> </w:t>
      </w:r>
      <w:r>
        <w:t>l</w:t>
      </w:r>
      <w:r w:rsidRPr="006536D8">
        <w:t xml:space="preserve">aws </w:t>
      </w:r>
      <w:r>
        <w:t>a</w:t>
      </w:r>
      <w:r w:rsidRPr="006536D8">
        <w:t xml:space="preserve">ffecting the </w:t>
      </w:r>
      <w:r>
        <w:t>f</w:t>
      </w:r>
      <w:r w:rsidRPr="006536D8">
        <w:t xml:space="preserve">inancial </w:t>
      </w:r>
      <w:r>
        <w:t>i</w:t>
      </w:r>
      <w:r w:rsidRPr="006536D8">
        <w:t xml:space="preserve">ntermediary </w:t>
      </w:r>
      <w:r>
        <w:t>s</w:t>
      </w:r>
      <w:r w:rsidRPr="006536D8">
        <w:t xml:space="preserve">ystem. </w:t>
      </w:r>
    </w:p>
  </w:footnote>
  <w:footnote w:id="120">
    <w:p w14:paraId="1FE7F980" w14:textId="77777777" w:rsidR="00FC0AF3" w:rsidRPr="008B5C57" w:rsidRDefault="00FC0AF3" w:rsidP="00FC0AF3">
      <w:pPr>
        <w:pStyle w:val="FootnoteText"/>
      </w:pPr>
      <w:r>
        <w:rPr>
          <w:rStyle w:val="FootnoteReference"/>
        </w:rPr>
        <w:footnoteRef/>
      </w:r>
      <w:r>
        <w:t xml:space="preserve"> </w:t>
      </w:r>
      <w:r>
        <w:tab/>
        <w:t>OECD (2026).</w:t>
      </w:r>
    </w:p>
  </w:footnote>
  <w:footnote w:id="121">
    <w:p w14:paraId="09ED4C96" w14:textId="17EC0B80" w:rsidR="00283432" w:rsidRPr="00D63FD6" w:rsidRDefault="00283432">
      <w:pPr>
        <w:pStyle w:val="FootnoteText"/>
        <w:rPr>
          <w:lang w:val="en-IE"/>
        </w:rPr>
      </w:pPr>
      <w:r>
        <w:rPr>
          <w:rStyle w:val="FootnoteReference"/>
        </w:rPr>
        <w:footnoteRef/>
      </w:r>
      <w:r>
        <w:tab/>
      </w:r>
      <w:r w:rsidRPr="00283432">
        <w:t xml:space="preserve">Act XVII of 2026 on the </w:t>
      </w:r>
      <w:r w:rsidR="001745D0">
        <w:t>a</w:t>
      </w:r>
      <w:r w:rsidRPr="00283432">
        <w:t xml:space="preserve">mendment of Act XXXVI of 2012 on the National Assembly and </w:t>
      </w:r>
      <w:r w:rsidR="00694CC1">
        <w:t>c</w:t>
      </w:r>
      <w:r w:rsidRPr="00283432">
        <w:t xml:space="preserve">ertain </w:t>
      </w:r>
      <w:r w:rsidR="00694CC1">
        <w:t>r</w:t>
      </w:r>
      <w:r w:rsidRPr="00283432">
        <w:t xml:space="preserve">elated Acts </w:t>
      </w:r>
      <w:r w:rsidR="00694CC1">
        <w:t>c</w:t>
      </w:r>
      <w:r w:rsidRPr="00283432">
        <w:t xml:space="preserve">oncerning </w:t>
      </w:r>
      <w:r w:rsidR="00694CC1">
        <w:t>c</w:t>
      </w:r>
      <w:r w:rsidRPr="00283432">
        <w:t xml:space="preserve">ost </w:t>
      </w:r>
      <w:r w:rsidR="00694CC1">
        <w:t>r</w:t>
      </w:r>
      <w:r w:rsidRPr="00283432">
        <w:t>eduction.</w:t>
      </w:r>
    </w:p>
  </w:footnote>
  <w:footnote w:id="122">
    <w:p w14:paraId="215B6A62" w14:textId="77777777" w:rsidR="00FC0AF3" w:rsidRPr="002E724A" w:rsidRDefault="00FC0AF3" w:rsidP="00FC0AF3">
      <w:pPr>
        <w:pStyle w:val="FootnoteText"/>
        <w:rPr>
          <w:lang w:val="en-IE"/>
        </w:rPr>
      </w:pPr>
      <w:r>
        <w:rPr>
          <w:rStyle w:val="FootnoteReference"/>
        </w:rPr>
        <w:footnoteRef/>
      </w:r>
      <w:r>
        <w:t xml:space="preserve"> </w:t>
      </w:r>
      <w:r>
        <w:rPr>
          <w:lang w:val="en-IE"/>
        </w:rPr>
        <w:tab/>
      </w:r>
      <w:r w:rsidRPr="002E724A">
        <w:rPr>
          <w:lang w:val="en-IE"/>
        </w:rPr>
        <w:t>Flash Eurobarometer 557 on Businesses’ attitudes towards corruption in the EU (2025). This is 11 percentage points above the EU average.</w:t>
      </w:r>
    </w:p>
  </w:footnote>
  <w:footnote w:id="123">
    <w:p w14:paraId="4B0D04FF" w14:textId="77777777" w:rsidR="00FC0AF3" w:rsidRPr="00E84DE7" w:rsidRDefault="00FC0AF3" w:rsidP="00FC0AF3">
      <w:pPr>
        <w:pStyle w:val="FootnoteText"/>
      </w:pPr>
      <w:r>
        <w:rPr>
          <w:rStyle w:val="FootnoteReference"/>
        </w:rPr>
        <w:footnoteRef/>
      </w:r>
      <w:r>
        <w:t xml:space="preserve"> </w:t>
      </w:r>
      <w:r>
        <w:tab/>
      </w:r>
      <w:r w:rsidRPr="00E84DE7">
        <w:t>Figure 59, 2026 EU Justice Scoreboard.</w:t>
      </w:r>
    </w:p>
  </w:footnote>
  <w:footnote w:id="124">
    <w:p w14:paraId="4D858AD8" w14:textId="665FAD70" w:rsidR="00FC0AF3" w:rsidRPr="006E10A8" w:rsidRDefault="00FC0AF3" w:rsidP="00FC0AF3">
      <w:pPr>
        <w:pStyle w:val="FootnoteText"/>
      </w:pPr>
      <w:r>
        <w:rPr>
          <w:rStyle w:val="FootnoteReference"/>
        </w:rPr>
        <w:footnoteRef/>
      </w:r>
      <w:r>
        <w:t xml:space="preserve"> </w:t>
      </w:r>
      <w:r>
        <w:tab/>
        <w:t xml:space="preserve">This trend is mixed however as </w:t>
      </w:r>
      <w:r w:rsidRPr="00FC1C25">
        <w:rPr>
          <w:szCs w:val="24"/>
          <w:lang w:eastAsia="en-GB"/>
        </w:rPr>
        <w:t>the share of public procurement</w:t>
      </w:r>
      <w:r>
        <w:rPr>
          <w:szCs w:val="24"/>
          <w:lang w:eastAsia="en-GB"/>
        </w:rPr>
        <w:t xml:space="preserve"> </w:t>
      </w:r>
      <w:r w:rsidRPr="00FC1C25">
        <w:rPr>
          <w:szCs w:val="24"/>
          <w:lang w:eastAsia="en-GB"/>
        </w:rPr>
        <w:t>procedures with single bids decreased for both EU-financed and national procurements</w:t>
      </w:r>
      <w:r>
        <w:rPr>
          <w:szCs w:val="24"/>
          <w:lang w:eastAsia="en-GB"/>
        </w:rPr>
        <w:t xml:space="preserve"> until 2024</w:t>
      </w:r>
      <w:r w:rsidRPr="00FC1C25">
        <w:rPr>
          <w:szCs w:val="24"/>
          <w:lang w:eastAsia="en-GB"/>
        </w:rPr>
        <w:t>,</w:t>
      </w:r>
      <w:r>
        <w:rPr>
          <w:szCs w:val="24"/>
          <w:lang w:eastAsia="en-GB"/>
        </w:rPr>
        <w:t xml:space="preserve"> in 2025, the share of EU-funded single bid procedures doubled compared to 2024 (increased to 9.5% from 4.2% in 2024). In addition</w:t>
      </w:r>
      <w:r w:rsidRPr="00FC1C25">
        <w:rPr>
          <w:szCs w:val="24"/>
          <w:lang w:eastAsia="en-GB"/>
        </w:rPr>
        <w:t>,</w:t>
      </w:r>
      <w:r>
        <w:rPr>
          <w:szCs w:val="24"/>
          <w:lang w:eastAsia="en-GB"/>
        </w:rPr>
        <w:t xml:space="preserve"> </w:t>
      </w:r>
      <w:r w:rsidRPr="00FC1C25">
        <w:rPr>
          <w:szCs w:val="24"/>
          <w:lang w:eastAsia="en-GB"/>
        </w:rPr>
        <w:t>the target committed to by Hungary for domestically financed public procurements was</w:t>
      </w:r>
      <w:r>
        <w:rPr>
          <w:szCs w:val="24"/>
          <w:lang w:eastAsia="en-GB"/>
        </w:rPr>
        <w:t xml:space="preserve"> </w:t>
      </w:r>
      <w:r w:rsidRPr="004C39D7">
        <w:rPr>
          <w:szCs w:val="24"/>
          <w:lang w:eastAsia="en-GB"/>
        </w:rPr>
        <w:t>not met for the third consecutive year: in 2023 it was 29% vs the target of 24%, in 2024 it was 22.3% vs the target of 15% and in 2025 it was 22% vs the target of 15%</w:t>
      </w:r>
      <w:r>
        <w:rPr>
          <w:szCs w:val="24"/>
          <w:lang w:eastAsia="en-GB"/>
        </w:rPr>
        <w:t>.</w:t>
      </w:r>
      <w:r w:rsidR="0024487B">
        <w:rPr>
          <w:szCs w:val="24"/>
          <w:lang w:eastAsia="en-GB"/>
        </w:rPr>
        <w:t xml:space="preserve"> According to the new Government,</w:t>
      </w:r>
      <w:r w:rsidR="0024487B" w:rsidRPr="0024487B">
        <w:rPr>
          <w:szCs w:val="24"/>
          <w:lang w:eastAsia="en-GB"/>
        </w:rPr>
        <w:t xml:space="preserve"> this figure applies only to procedures conducted under EU rules. </w:t>
      </w:r>
      <w:r w:rsidR="008B743E">
        <w:rPr>
          <w:szCs w:val="24"/>
          <w:lang w:eastAsia="en-GB"/>
        </w:rPr>
        <w:t>If</w:t>
      </w:r>
      <w:r w:rsidR="0024487B" w:rsidRPr="0024487B">
        <w:rPr>
          <w:szCs w:val="24"/>
          <w:lang w:eastAsia="en-GB"/>
        </w:rPr>
        <w:t xml:space="preserve"> procedures conducted under national rules</w:t>
      </w:r>
      <w:r w:rsidR="008B743E">
        <w:rPr>
          <w:szCs w:val="24"/>
          <w:lang w:eastAsia="en-GB"/>
        </w:rPr>
        <w:t xml:space="preserve"> are included</w:t>
      </w:r>
      <w:r w:rsidR="0024487B" w:rsidRPr="0024487B">
        <w:rPr>
          <w:szCs w:val="24"/>
          <w:lang w:eastAsia="en-GB"/>
        </w:rPr>
        <w:t>, the proportion is below 20%. Hungary has fulfilled its commitment to reduce the proportion of single-bid public procurements to below 15% for procedures financed at least in part by EU funds; this proportion now stands at 9.5%.</w:t>
      </w:r>
      <w:r w:rsidR="000D5200">
        <w:rPr>
          <w:szCs w:val="24"/>
          <w:lang w:eastAsia="en-GB"/>
        </w:rPr>
        <w:t xml:space="preserve"> </w:t>
      </w:r>
      <w:r w:rsidR="00DB7017">
        <w:rPr>
          <w:szCs w:val="24"/>
          <w:lang w:eastAsia="en-GB"/>
        </w:rPr>
        <w:t xml:space="preserve">Hungarian Government (2026), additional input. </w:t>
      </w:r>
    </w:p>
  </w:footnote>
  <w:footnote w:id="125">
    <w:p w14:paraId="172C6301" w14:textId="0C7D8DFC" w:rsidR="00FC0AF3" w:rsidRDefault="00FC0AF3" w:rsidP="00FC0AF3">
      <w:pPr>
        <w:pStyle w:val="FootnoteText"/>
      </w:pPr>
      <w:r>
        <w:rPr>
          <w:rStyle w:val="FootnoteReference"/>
        </w:rPr>
        <w:footnoteRef/>
      </w:r>
      <w:r>
        <w:t xml:space="preserve"> </w:t>
      </w:r>
      <w:r>
        <w:tab/>
      </w:r>
      <w:r w:rsidR="002369BA">
        <w:t>Analysis of single-bid public procurements</w:t>
      </w:r>
      <w:r w:rsidR="004F276A">
        <w:t xml:space="preserve"> 2021-2025 (13 February 2026</w:t>
      </w:r>
      <w:r w:rsidR="00715224">
        <w:t>)</w:t>
      </w:r>
    </w:p>
  </w:footnote>
  <w:footnote w:id="126">
    <w:p w14:paraId="1CDECB5F" w14:textId="63D367DC" w:rsidR="00FC0AF3" w:rsidRPr="00961786" w:rsidRDefault="00FC0AF3" w:rsidP="00FC0AF3">
      <w:pPr>
        <w:pStyle w:val="FootnoteText"/>
        <w:rPr>
          <w:lang w:val="en-IE"/>
        </w:rPr>
      </w:pPr>
      <w:r w:rsidRPr="00961786">
        <w:rPr>
          <w:rStyle w:val="FootnoteReference"/>
          <w:lang w:val="en-IE"/>
        </w:rPr>
        <w:footnoteRef/>
      </w:r>
      <w:r w:rsidRPr="00961786">
        <w:rPr>
          <w:lang w:val="en-IE"/>
        </w:rPr>
        <w:t xml:space="preserve"> </w:t>
      </w:r>
      <w:r w:rsidRPr="00961786">
        <w:rPr>
          <w:lang w:val="en-IE"/>
        </w:rPr>
        <w:tab/>
        <w:t xml:space="preserve">The </w:t>
      </w:r>
      <w:r>
        <w:rPr>
          <w:lang w:val="en-IE"/>
        </w:rPr>
        <w:t>IA</w:t>
      </w:r>
      <w:r w:rsidRPr="00961786">
        <w:rPr>
          <w:lang w:val="en-IE"/>
        </w:rPr>
        <w:t xml:space="preserve"> reports increasing market concentration, especially related to companies belonging to the same ownership structures (over 40% for the top 10 companies); when EU-funding is involved, and in certain sectors (concentration is over 50% in business services and IT services). </w:t>
      </w:r>
      <w:r>
        <w:rPr>
          <w:lang w:val="en-IE"/>
        </w:rPr>
        <w:t>Also</w:t>
      </w:r>
      <w:r w:rsidRPr="00961786">
        <w:rPr>
          <w:lang w:val="en-IE"/>
        </w:rPr>
        <w:t xml:space="preserve">, it underlines that the improving trend of single bids may conceal the existence of ‘supporting bids’ and would require more targeted analysis. Integrity Authority (2025). </w:t>
      </w:r>
    </w:p>
  </w:footnote>
  <w:footnote w:id="127">
    <w:p w14:paraId="2A2CC338" w14:textId="26E7539E" w:rsidR="00FC0AF3" w:rsidRPr="000F362C" w:rsidRDefault="00FC0AF3" w:rsidP="00FC0AF3">
      <w:pPr>
        <w:pStyle w:val="FootnoteText"/>
      </w:pPr>
      <w:r>
        <w:rPr>
          <w:rStyle w:val="FootnoteReference"/>
        </w:rPr>
        <w:footnoteRef/>
      </w:r>
      <w:r w:rsidRPr="0067250D">
        <w:rPr>
          <w:lang w:val="da-DK"/>
        </w:rPr>
        <w:t xml:space="preserve"> </w:t>
      </w:r>
      <w:r w:rsidRPr="0067250D">
        <w:rPr>
          <w:lang w:val="da-DK"/>
        </w:rPr>
        <w:tab/>
        <w:t xml:space="preserve">Amnesty International Hungary et al. </w:t>
      </w:r>
      <w:r w:rsidRPr="000F362C">
        <w:t xml:space="preserve">(2026), pp. 48-49. See also Transparency International Hungary’s Tender Champion database according to which companies linked to a close friend of the former Prime Minister has won public procurement contracts worth a total of more </w:t>
      </w:r>
      <w:r w:rsidR="004F3B80">
        <w:t xml:space="preserve">than </w:t>
      </w:r>
      <w:r w:rsidRPr="000F362C">
        <w:t>EUR 2.6 billion, amounting to 8.6% of the total value of the tenders examined for the period between 2021and 2023.</w:t>
      </w:r>
    </w:p>
  </w:footnote>
  <w:footnote w:id="128">
    <w:p w14:paraId="124A0EAB" w14:textId="4EA76F18" w:rsidR="00FC0AF3" w:rsidRDefault="00FC0AF3" w:rsidP="00FC0AF3">
      <w:pPr>
        <w:pStyle w:val="FootnoteText"/>
      </w:pPr>
      <w:r>
        <w:rPr>
          <w:rStyle w:val="FootnoteReference"/>
        </w:rPr>
        <w:footnoteRef/>
      </w:r>
      <w:r>
        <w:t xml:space="preserve"> </w:t>
      </w:r>
      <w:r>
        <w:tab/>
      </w:r>
      <w:r>
        <w:rPr>
          <w:rFonts w:eastAsia="EC Square Sans Pro" w:cs="EC Square Sans Pro"/>
          <w:color w:val="000000" w:themeColor="text1"/>
        </w:rPr>
        <w:t xml:space="preserve">In 2025, their value exceeded that of all other tenders (ca. 60%) and close to 75% of them was concluded with a single bidder. </w:t>
      </w:r>
      <w:r w:rsidRPr="00066C71">
        <w:rPr>
          <w:rFonts w:eastAsia="EC Square Sans Pro" w:cs="EC Square Sans Pro"/>
          <w:color w:val="000000" w:themeColor="text1"/>
        </w:rPr>
        <w:t>The most notable example of this is the commissioning of PR and communication services by a central purchasing body.</w:t>
      </w:r>
      <w:r>
        <w:rPr>
          <w:rFonts w:eastAsia="EC Square Sans Pro" w:cs="EC Square Sans Pro"/>
          <w:color w:val="000000" w:themeColor="text1"/>
        </w:rPr>
        <w:t xml:space="preserve"> The Government does not include framework agreements in statistics on single bids</w:t>
      </w:r>
      <w:r w:rsidR="00644791">
        <w:rPr>
          <w:rFonts w:eastAsia="EC Square Sans Pro" w:cs="EC Square Sans Pro"/>
          <w:color w:val="000000" w:themeColor="text1"/>
        </w:rPr>
        <w:t xml:space="preserve"> </w:t>
      </w:r>
      <w:r w:rsidR="00644791" w:rsidRPr="00644791">
        <w:rPr>
          <w:rFonts w:eastAsia="EC Square Sans Pro" w:cs="EC Square Sans Pro"/>
          <w:color w:val="000000" w:themeColor="text1"/>
        </w:rPr>
        <w:t>in line with the Single Market Scoreboard methodology</w:t>
      </w:r>
      <w:r>
        <w:rPr>
          <w:rFonts w:eastAsia="EC Square Sans Pro" w:cs="EC Square Sans Pro"/>
          <w:color w:val="000000" w:themeColor="text1"/>
        </w:rPr>
        <w:t>.</w:t>
      </w:r>
    </w:p>
  </w:footnote>
  <w:footnote w:id="129">
    <w:p w14:paraId="3E2168FF" w14:textId="454464F5" w:rsidR="00FC0AF3" w:rsidRPr="00BF7605" w:rsidRDefault="00FC0AF3" w:rsidP="00FC0AF3">
      <w:pPr>
        <w:pStyle w:val="FootnoteText"/>
      </w:pPr>
      <w:r>
        <w:rPr>
          <w:rStyle w:val="FootnoteReference"/>
        </w:rPr>
        <w:footnoteRef/>
      </w:r>
      <w:r>
        <w:t xml:space="preserve"> </w:t>
      </w:r>
      <w:r>
        <w:tab/>
      </w:r>
      <w:r w:rsidRPr="00BF7605">
        <w:t xml:space="preserve">In 2024, </w:t>
      </w:r>
      <w:r w:rsidR="00494844">
        <w:t>74</w:t>
      </w:r>
      <w:r w:rsidRPr="00BF7605">
        <w:t xml:space="preserve">% of framework agreements did not reopen competition, as they were concluded with only one economic operator. See Performance measurement framework for evaluating the efficiency and cost-effectiveness of public procurement, indicator n47. One example is the communication sector where companies owned by one person won 74% of contracts between 2021 and 2023. </w:t>
      </w:r>
      <w:r w:rsidR="001E6FA3">
        <w:t xml:space="preserve">Corruption Research Centre Budapest (2024). </w:t>
      </w:r>
    </w:p>
  </w:footnote>
  <w:footnote w:id="130">
    <w:p w14:paraId="25B224E5" w14:textId="77777777" w:rsidR="00E96460" w:rsidRPr="000607ED" w:rsidRDefault="00E96460" w:rsidP="00E96460">
      <w:pPr>
        <w:pStyle w:val="FootnoteText"/>
        <w:rPr>
          <w:lang w:val="en-IE"/>
        </w:rPr>
      </w:pPr>
      <w:r>
        <w:rPr>
          <w:rStyle w:val="FootnoteReference"/>
        </w:rPr>
        <w:footnoteRef/>
      </w:r>
      <w:r w:rsidRPr="000607ED">
        <w:rPr>
          <w:lang w:val="en-IE"/>
        </w:rPr>
        <w:tab/>
      </w:r>
      <w:r w:rsidR="2910F739" w:rsidRPr="2910F739">
        <w:rPr>
          <w:lang w:val="en-IE"/>
        </w:rPr>
        <w:t xml:space="preserve">The new rules extend the definition of </w:t>
      </w:r>
      <w:r w:rsidR="2910F739">
        <w:t xml:space="preserve">ultimate beneficial owners </w:t>
      </w:r>
      <w:r w:rsidR="2910F739" w:rsidRPr="2910F739">
        <w:rPr>
          <w:lang w:val="en-IE"/>
        </w:rPr>
        <w:t xml:space="preserve">to capture all natural persons who exercise </w:t>
      </w:r>
      <w:r w:rsidR="2910F739" w:rsidRPr="2910F739">
        <w:rPr>
          <w:i/>
          <w:iCs/>
          <w:lang w:val="en-IE"/>
        </w:rPr>
        <w:t>de facto</w:t>
      </w:r>
      <w:r w:rsidR="2910F739" w:rsidRPr="2910F739">
        <w:rPr>
          <w:lang w:val="en-IE"/>
        </w:rPr>
        <w:t xml:space="preserve"> control or hold blocking voting rights and make mandatory the identification of ownership chains established through parallel funds, holding structures or multi-jurisdictional arrangements.</w:t>
      </w:r>
    </w:p>
  </w:footnote>
  <w:footnote w:id="131">
    <w:p w14:paraId="22C5E54A" w14:textId="77777777" w:rsidR="00FC0AF3" w:rsidRPr="00D51FD5" w:rsidRDefault="00FC0AF3" w:rsidP="00FC0AF3">
      <w:pPr>
        <w:pStyle w:val="FootnoteText"/>
      </w:pPr>
      <w:r w:rsidRPr="00D51FD5">
        <w:rPr>
          <w:rStyle w:val="FootnoteReference"/>
        </w:rPr>
        <w:footnoteRef/>
      </w:r>
      <w:r w:rsidRPr="00D51FD5">
        <w:t xml:space="preserve"> </w:t>
      </w:r>
      <w:r w:rsidRPr="00D51FD5">
        <w:tab/>
        <w:t>On 17 July 2025, the Commission sent an additional letter of formal notice to Hungary for failing to comply with EU rules on public procurement and concessions when awarding a contract for the construction, operation and maintenance of its motorway network (INFR(2024)4006).</w:t>
      </w:r>
    </w:p>
  </w:footnote>
  <w:footnote w:id="132">
    <w:p w14:paraId="1CFA1BE1" w14:textId="77777777" w:rsidR="00FC0AF3" w:rsidRPr="00D51FD5" w:rsidRDefault="00FC0AF3" w:rsidP="00FC0AF3">
      <w:pPr>
        <w:pStyle w:val="FootnoteText"/>
      </w:pPr>
      <w:r w:rsidRPr="00D51FD5">
        <w:rPr>
          <w:rStyle w:val="FootnoteReference"/>
        </w:rPr>
        <w:footnoteRef/>
      </w:r>
      <w:r w:rsidRPr="00D51FD5">
        <w:t xml:space="preserve"> </w:t>
      </w:r>
      <w:r w:rsidRPr="00D51FD5">
        <w:tab/>
        <w:t>On 21 November 2025, the Commission opened an infringement procedure against Hungary for failing to comply with EU rules when awarding its waste management concession for the entire territory of the country (INFR(2025)4020). The Commission considers that the eligibility criteria applied in this procedure were discriminatory and that the 35-year duration of the concession exceeds the period permitted under EU law. In addition, the original terms of the concession appear to have been modified in breach of EU rules.</w:t>
      </w:r>
    </w:p>
  </w:footnote>
  <w:footnote w:id="133">
    <w:p w14:paraId="420C51F7" w14:textId="77777777" w:rsidR="00FC0AF3" w:rsidRPr="00232EB2" w:rsidRDefault="00FC0AF3" w:rsidP="00FC0AF3">
      <w:pPr>
        <w:pStyle w:val="FootnoteText"/>
      </w:pPr>
      <w:r>
        <w:rPr>
          <w:rStyle w:val="FootnoteReference"/>
        </w:rPr>
        <w:footnoteRef/>
      </w:r>
      <w:r>
        <w:t xml:space="preserve"> </w:t>
      </w:r>
      <w:r>
        <w:tab/>
      </w:r>
      <w:r w:rsidRPr="00232EB2">
        <w:t>Hungarian Government (2026), written input, pp. 38-39. The Action Plan on increasing competition has also been supplemented with further measures in 2025.</w:t>
      </w:r>
    </w:p>
  </w:footnote>
  <w:footnote w:id="134">
    <w:p w14:paraId="6DB158A7" w14:textId="77777777" w:rsidR="00FC0AF3" w:rsidRPr="00232EB2" w:rsidRDefault="00FC0AF3" w:rsidP="00FC0AF3">
      <w:pPr>
        <w:pStyle w:val="FootnoteText"/>
      </w:pPr>
      <w:r>
        <w:rPr>
          <w:rStyle w:val="FootnoteReference"/>
        </w:rPr>
        <w:footnoteRef/>
      </w:r>
      <w:r>
        <w:t xml:space="preserve"> </w:t>
      </w:r>
      <w:r>
        <w:tab/>
      </w:r>
      <w:r w:rsidRPr="00232EB2">
        <w:t>Hungarian Government (2026), written input, pp. 22-24.</w:t>
      </w:r>
    </w:p>
  </w:footnote>
  <w:footnote w:id="135">
    <w:p w14:paraId="47A2FC66" w14:textId="77777777" w:rsidR="00FC0AF3" w:rsidRPr="00232EB2" w:rsidRDefault="00FC0AF3" w:rsidP="00FC0AF3">
      <w:pPr>
        <w:pStyle w:val="FootnoteText"/>
      </w:pPr>
      <w:r>
        <w:rPr>
          <w:rStyle w:val="FootnoteReference"/>
        </w:rPr>
        <w:footnoteRef/>
      </w:r>
      <w:r>
        <w:t xml:space="preserve"> </w:t>
      </w:r>
      <w:r>
        <w:tab/>
      </w:r>
      <w:r w:rsidRPr="00232EB2">
        <w:t>Hungarian Government (2026), written input, p. 31.</w:t>
      </w:r>
    </w:p>
  </w:footnote>
  <w:footnote w:id="136">
    <w:p w14:paraId="52B9A71A" w14:textId="77777777" w:rsidR="00FC0AF3" w:rsidRPr="00646DF7" w:rsidRDefault="00FC0AF3" w:rsidP="00FC0AF3">
      <w:pPr>
        <w:pStyle w:val="FootnoteText"/>
      </w:pPr>
      <w:r>
        <w:rPr>
          <w:rStyle w:val="FootnoteReference"/>
        </w:rPr>
        <w:footnoteRef/>
      </w:r>
      <w:r>
        <w:t xml:space="preserve"> </w:t>
      </w:r>
      <w:r>
        <w:tab/>
        <w:t>Such projects are exempted from regular requirements and safeguards in order to simplify and accelerate investment procedures (2023 Rule of Law Report, Hungary, p. 19).</w:t>
      </w:r>
    </w:p>
  </w:footnote>
  <w:footnote w:id="137">
    <w:p w14:paraId="2865B0EB" w14:textId="77777777" w:rsidR="003045BD" w:rsidRPr="00386699" w:rsidRDefault="003045BD" w:rsidP="003045BD">
      <w:pPr>
        <w:pStyle w:val="FootnoteText"/>
      </w:pPr>
      <w:r>
        <w:rPr>
          <w:rStyle w:val="FootnoteReference"/>
        </w:rPr>
        <w:footnoteRef/>
      </w:r>
      <w:r>
        <w:t xml:space="preserve"> </w:t>
      </w:r>
      <w:r>
        <w:tab/>
      </w:r>
      <w:r w:rsidRPr="00386699">
        <w:t>The 202</w:t>
      </w:r>
      <w:r>
        <w:t>5</w:t>
      </w:r>
      <w:r w:rsidRPr="00386699">
        <w:t xml:space="preserve"> Rule of Law Reports recommended to Hungary to ‘[i]ntroduce mechanisms to enhance the functional independence of the media regulatory authority taking into account European standards on the independence of media regulators’</w:t>
      </w:r>
      <w:r>
        <w:t xml:space="preserve">. </w:t>
      </w:r>
      <w:r w:rsidRPr="00DE7BAE">
        <w:t xml:space="preserve">No progress was previously assessed on this recommendation in </w:t>
      </w:r>
      <w:r>
        <w:t xml:space="preserve">2025, </w:t>
      </w:r>
      <w:r w:rsidRPr="00DE7BAE">
        <w:t>2024 and 2023.</w:t>
      </w:r>
    </w:p>
  </w:footnote>
  <w:footnote w:id="138">
    <w:p w14:paraId="6040EBC7" w14:textId="427A52BB" w:rsidR="003045BD" w:rsidRPr="00AA0504" w:rsidRDefault="003045BD" w:rsidP="003045BD">
      <w:pPr>
        <w:pStyle w:val="FootnoteText"/>
        <w:rPr>
          <w:lang w:val="en-IE"/>
        </w:rPr>
      </w:pPr>
      <w:r>
        <w:rPr>
          <w:rStyle w:val="FootnoteReference"/>
        </w:rPr>
        <w:footnoteRef/>
      </w:r>
      <w:r>
        <w:tab/>
        <w:t>Act XX</w:t>
      </w:r>
      <w:r w:rsidR="00EB1052">
        <w:t>I</w:t>
      </w:r>
      <w:r>
        <w:t xml:space="preserve"> of 2026. </w:t>
      </w:r>
    </w:p>
  </w:footnote>
  <w:footnote w:id="139">
    <w:p w14:paraId="35A22B47" w14:textId="77777777" w:rsidR="003045BD" w:rsidRPr="008B791F" w:rsidRDefault="003045BD" w:rsidP="003045BD">
      <w:pPr>
        <w:pStyle w:val="FootnoteText"/>
        <w:rPr>
          <w:lang w:val="en-IE"/>
        </w:rPr>
      </w:pPr>
      <w:r>
        <w:rPr>
          <w:rStyle w:val="FootnoteReference"/>
        </w:rPr>
        <w:footnoteRef/>
      </w:r>
      <w:r>
        <w:tab/>
      </w:r>
      <w:r w:rsidRPr="00044701">
        <w:rPr>
          <w:lang w:val="en-IE"/>
        </w:rPr>
        <w:t>Media Pluralism Monitor (2026), pp. 15-18.</w:t>
      </w:r>
    </w:p>
  </w:footnote>
  <w:footnote w:id="140">
    <w:p w14:paraId="2963118B" w14:textId="69C4A619" w:rsidR="003045BD" w:rsidRPr="00392257" w:rsidRDefault="003045BD" w:rsidP="003045BD">
      <w:pPr>
        <w:pStyle w:val="FootnoteText"/>
      </w:pPr>
      <w:r>
        <w:rPr>
          <w:rStyle w:val="FootnoteReference"/>
        </w:rPr>
        <w:footnoteRef/>
      </w:r>
      <w:r>
        <w:tab/>
        <w:t>J</w:t>
      </w:r>
      <w:r w:rsidRPr="006536D8">
        <w:t>udgment of the CJEU, case C-</w:t>
      </w:r>
      <w:r>
        <w:t>92</w:t>
      </w:r>
      <w:r w:rsidRPr="006536D8">
        <w:t>/</w:t>
      </w:r>
      <w:r w:rsidR="002A0317">
        <w:t>2</w:t>
      </w:r>
      <w:r>
        <w:t>3</w:t>
      </w:r>
      <w:r w:rsidRPr="006536D8">
        <w:t xml:space="preserve">, </w:t>
      </w:r>
      <w:r w:rsidRPr="006536D8">
        <w:rPr>
          <w:i/>
          <w:iCs/>
        </w:rPr>
        <w:t>Commission v Hungary</w:t>
      </w:r>
      <w:r>
        <w:t xml:space="preserve"> </w:t>
      </w:r>
      <w:r w:rsidRPr="00D671D2">
        <w:rPr>
          <w:i/>
          <w:iCs/>
        </w:rPr>
        <w:t>(Right to provide media services on a radio frequency</w:t>
      </w:r>
      <w:r>
        <w:rPr>
          <w:i/>
          <w:iCs/>
        </w:rPr>
        <w:t>).</w:t>
      </w:r>
    </w:p>
  </w:footnote>
  <w:footnote w:id="141">
    <w:p w14:paraId="114BB102" w14:textId="77777777" w:rsidR="00FC0AF3" w:rsidRPr="0002488E" w:rsidRDefault="00FC0AF3" w:rsidP="00FC0AF3">
      <w:pPr>
        <w:pStyle w:val="FootnoteText"/>
      </w:pPr>
      <w:r>
        <w:rPr>
          <w:rStyle w:val="FootnoteReference"/>
        </w:rPr>
        <w:footnoteRef/>
      </w:r>
      <w:r>
        <w:t xml:space="preserve"> </w:t>
      </w:r>
      <w:r>
        <w:tab/>
      </w:r>
      <w:r w:rsidRPr="0002488E">
        <w:t>The 202</w:t>
      </w:r>
      <w:r>
        <w:t>5</w:t>
      </w:r>
      <w:r w:rsidRPr="0002488E">
        <w:t xml:space="preserve"> Rule of Law report recommended to Hungary to ‘[a]dopt legislation to ensure fair and transparent distribution of advertising expenditure by the state and state-owned companies’.</w:t>
      </w:r>
      <w:r>
        <w:t xml:space="preserve"> </w:t>
      </w:r>
      <w:r w:rsidRPr="005578DB">
        <w:t xml:space="preserve">No progress was previously assessed on this recommendation in </w:t>
      </w:r>
      <w:r>
        <w:t xml:space="preserve">2025, </w:t>
      </w:r>
      <w:r w:rsidRPr="005578DB">
        <w:t>2024 and 2023.</w:t>
      </w:r>
    </w:p>
  </w:footnote>
  <w:footnote w:id="142">
    <w:p w14:paraId="1FD25333" w14:textId="77777777" w:rsidR="00FC0AF3" w:rsidRPr="00D86366" w:rsidRDefault="00FC0AF3" w:rsidP="00FC0AF3">
      <w:pPr>
        <w:pStyle w:val="FootnoteText"/>
      </w:pPr>
      <w:r>
        <w:rPr>
          <w:rStyle w:val="FootnoteReference"/>
        </w:rPr>
        <w:footnoteRef/>
      </w:r>
      <w:r>
        <w:t xml:space="preserve"> </w:t>
      </w:r>
      <w:r>
        <w:tab/>
        <w:t xml:space="preserve">Mertek Media Monitor (2026), International Press Institute (2026) and Reporters Without Borders (2026). </w:t>
      </w:r>
    </w:p>
  </w:footnote>
  <w:footnote w:id="143">
    <w:p w14:paraId="6977DC67" w14:textId="77777777" w:rsidR="00FC0AF3" w:rsidRPr="00FE76E0" w:rsidRDefault="00FC0AF3" w:rsidP="00FC0AF3">
      <w:pPr>
        <w:pStyle w:val="FootnoteText"/>
        <w:rPr>
          <w:lang w:val="en-IE"/>
        </w:rPr>
      </w:pPr>
      <w:r>
        <w:rPr>
          <w:rStyle w:val="FootnoteReference"/>
        </w:rPr>
        <w:footnoteRef/>
      </w:r>
      <w:r w:rsidRPr="00FE76E0">
        <w:rPr>
          <w:lang w:val="en-IE"/>
        </w:rPr>
        <w:t xml:space="preserve"> </w:t>
      </w:r>
      <w:r w:rsidRPr="00FE76E0">
        <w:rPr>
          <w:lang w:val="en-IE"/>
        </w:rPr>
        <w:tab/>
        <w:t>Media Pluralism Monitor (2026), pp. 33-34.</w:t>
      </w:r>
    </w:p>
  </w:footnote>
  <w:footnote w:id="144">
    <w:p w14:paraId="28BFA5F5" w14:textId="77777777" w:rsidR="00FC0AF3" w:rsidRPr="00FE76E0" w:rsidRDefault="00FC0AF3" w:rsidP="00FC0AF3">
      <w:pPr>
        <w:pStyle w:val="FootnoteText"/>
        <w:rPr>
          <w:lang w:val="en-IE"/>
        </w:rPr>
      </w:pPr>
      <w:r w:rsidRPr="00044701">
        <w:rPr>
          <w:rStyle w:val="FootnoteReference"/>
        </w:rPr>
        <w:footnoteRef/>
      </w:r>
      <w:r w:rsidRPr="00FE76E0">
        <w:rPr>
          <w:lang w:val="en-IE"/>
        </w:rPr>
        <w:t xml:space="preserve"> </w:t>
      </w:r>
      <w:r w:rsidRPr="00FE76E0">
        <w:rPr>
          <w:lang w:val="en-IE"/>
        </w:rPr>
        <w:tab/>
        <w:t>Media Pluralism Monitor (2026), p. 20.</w:t>
      </w:r>
    </w:p>
  </w:footnote>
  <w:footnote w:id="145">
    <w:p w14:paraId="5B4E6DD6" w14:textId="77777777" w:rsidR="00FC0AF3" w:rsidRPr="007655D3" w:rsidRDefault="00FC0AF3" w:rsidP="00FC0AF3">
      <w:pPr>
        <w:pStyle w:val="FootnoteText"/>
      </w:pPr>
      <w:r>
        <w:rPr>
          <w:rStyle w:val="FootnoteReference"/>
        </w:rPr>
        <w:footnoteRef/>
      </w:r>
      <w:r>
        <w:t xml:space="preserve"> </w:t>
      </w:r>
      <w:r>
        <w:tab/>
      </w:r>
      <w:r w:rsidRPr="007655D3">
        <w:t>The 202</w:t>
      </w:r>
      <w:r>
        <w:t>5</w:t>
      </w:r>
      <w:r w:rsidRPr="007655D3">
        <w:t xml:space="preserve"> Rule of Law Report recommended to Hungary to ‘[s]trengthen the rules and mechanisms to enhance the independent governance and editorial independence of public service media taking into account European standards on public service media’.</w:t>
      </w:r>
      <w:r>
        <w:t xml:space="preserve"> </w:t>
      </w:r>
      <w:r w:rsidRPr="00DA38AA">
        <w:t xml:space="preserve">No progress was previously assessed on this recommendation in </w:t>
      </w:r>
      <w:r>
        <w:t xml:space="preserve">2025, </w:t>
      </w:r>
      <w:r w:rsidRPr="00DA38AA">
        <w:t>2024 and 2023.</w:t>
      </w:r>
    </w:p>
  </w:footnote>
  <w:footnote w:id="146">
    <w:p w14:paraId="2896DED5" w14:textId="77777777" w:rsidR="00FC0AF3" w:rsidRPr="002D798A" w:rsidRDefault="00FC0AF3" w:rsidP="00FC0AF3">
      <w:pPr>
        <w:pStyle w:val="FootnoteText"/>
        <w:rPr>
          <w:lang w:val="fr-FR"/>
        </w:rPr>
      </w:pPr>
      <w:r>
        <w:rPr>
          <w:rStyle w:val="FootnoteReference"/>
        </w:rPr>
        <w:footnoteRef/>
      </w:r>
      <w:r w:rsidRPr="002D798A">
        <w:rPr>
          <w:lang w:val="fr-FR"/>
        </w:rPr>
        <w:t xml:space="preserve"> </w:t>
      </w:r>
      <w:r w:rsidRPr="002D798A">
        <w:rPr>
          <w:lang w:val="fr-FR"/>
        </w:rPr>
        <w:tab/>
        <w:t>INFR(2025)2194.</w:t>
      </w:r>
    </w:p>
  </w:footnote>
  <w:footnote w:id="147">
    <w:p w14:paraId="3EEF5843" w14:textId="77777777" w:rsidR="00FC0AF3" w:rsidRPr="001E21D9" w:rsidRDefault="00FC0AF3" w:rsidP="00FC0AF3">
      <w:pPr>
        <w:pStyle w:val="FootnoteText"/>
        <w:rPr>
          <w:lang w:val="hu-HU"/>
        </w:rPr>
      </w:pPr>
      <w:r>
        <w:rPr>
          <w:rStyle w:val="FootnoteReference"/>
        </w:rPr>
        <w:footnoteRef/>
      </w:r>
      <w:r w:rsidRPr="002D798A">
        <w:rPr>
          <w:lang w:val="fr-FR"/>
        </w:rPr>
        <w:t xml:space="preserve"> </w:t>
      </w:r>
      <w:r w:rsidRPr="002D798A">
        <w:rPr>
          <w:lang w:val="fr-FR"/>
        </w:rPr>
        <w:tab/>
        <w:t>Regulation (EU) 2024/1083.</w:t>
      </w:r>
    </w:p>
  </w:footnote>
  <w:footnote w:id="148">
    <w:p w14:paraId="7F19D5BB" w14:textId="77777777" w:rsidR="00FC0AF3" w:rsidRPr="001E21D9" w:rsidRDefault="00FC0AF3" w:rsidP="00FC0AF3">
      <w:pPr>
        <w:pStyle w:val="FootnoteText"/>
        <w:rPr>
          <w:lang w:val="hu-HU"/>
        </w:rPr>
      </w:pPr>
      <w:r>
        <w:rPr>
          <w:rStyle w:val="FootnoteReference"/>
        </w:rPr>
        <w:footnoteRef/>
      </w:r>
      <w:r w:rsidRPr="002D798A">
        <w:rPr>
          <w:lang w:val="fr-FR"/>
        </w:rPr>
        <w:t xml:space="preserve"> </w:t>
      </w:r>
      <w:r>
        <w:rPr>
          <w:lang w:val="hu-HU"/>
        </w:rPr>
        <w:tab/>
      </w:r>
      <w:r w:rsidRPr="00656812">
        <w:rPr>
          <w:lang w:val="hu-HU"/>
        </w:rPr>
        <w:t>Directive (EU) 2018/1808</w:t>
      </w:r>
      <w:r>
        <w:rPr>
          <w:lang w:val="hu-HU"/>
        </w:rPr>
        <w:t>.</w:t>
      </w:r>
    </w:p>
  </w:footnote>
  <w:footnote w:id="149">
    <w:p w14:paraId="1D296D82" w14:textId="77777777" w:rsidR="00FC0AF3" w:rsidRPr="00FE76E0" w:rsidRDefault="00FC0AF3" w:rsidP="00FC0AF3">
      <w:pPr>
        <w:pStyle w:val="FootnoteText"/>
        <w:rPr>
          <w:lang w:val="en-IE"/>
        </w:rPr>
      </w:pPr>
      <w:r>
        <w:rPr>
          <w:rStyle w:val="FootnoteReference"/>
        </w:rPr>
        <w:footnoteRef/>
      </w:r>
      <w:r w:rsidRPr="00FE76E0">
        <w:rPr>
          <w:lang w:val="en-IE"/>
        </w:rPr>
        <w:t xml:space="preserve"> </w:t>
      </w:r>
      <w:r w:rsidRPr="00FE76E0">
        <w:rPr>
          <w:lang w:val="en-IE"/>
        </w:rPr>
        <w:tab/>
        <w:t xml:space="preserve">Infringement </w:t>
      </w:r>
      <w:r w:rsidRPr="00FE76E0">
        <w:rPr>
          <w:lang w:val="en-IE" w:eastAsia="fr-FR"/>
        </w:rPr>
        <w:t>INFR(2025)2194.</w:t>
      </w:r>
    </w:p>
  </w:footnote>
  <w:footnote w:id="150">
    <w:p w14:paraId="595AD065" w14:textId="77777777" w:rsidR="00FC0AF3" w:rsidRPr="001E21D9" w:rsidRDefault="00FC0AF3" w:rsidP="00FC0AF3">
      <w:pPr>
        <w:pStyle w:val="FootnoteText"/>
        <w:rPr>
          <w:lang w:val="en-IE"/>
        </w:rPr>
      </w:pPr>
      <w:r>
        <w:rPr>
          <w:rStyle w:val="FootnoteReference"/>
        </w:rPr>
        <w:footnoteRef/>
      </w:r>
      <w:r w:rsidRPr="001E21D9">
        <w:rPr>
          <w:lang w:val="en-IE"/>
        </w:rPr>
        <w:t xml:space="preserve"> </w:t>
      </w:r>
      <w:r w:rsidRPr="001E21D9">
        <w:rPr>
          <w:lang w:val="en-IE"/>
        </w:rPr>
        <w:tab/>
        <w:t>Media Pluralism Monitor (2026), pp. 34-36</w:t>
      </w:r>
    </w:p>
  </w:footnote>
  <w:footnote w:id="151">
    <w:p w14:paraId="0BF98710" w14:textId="77777777" w:rsidR="00FC0AF3" w:rsidRPr="0056737E" w:rsidRDefault="00FC0AF3" w:rsidP="00FC0AF3">
      <w:pPr>
        <w:pStyle w:val="FootnoteText"/>
        <w:rPr>
          <w:lang w:val="en-IE"/>
        </w:rPr>
      </w:pPr>
      <w:r>
        <w:rPr>
          <w:rStyle w:val="FootnoteReference"/>
        </w:rPr>
        <w:footnoteRef/>
      </w:r>
      <w:r>
        <w:t xml:space="preserve"> </w:t>
      </w:r>
      <w:r>
        <w:rPr>
          <w:lang w:val="en-IE"/>
        </w:rPr>
        <w:tab/>
      </w:r>
      <w:r w:rsidRPr="003A580B">
        <w:rPr>
          <w:lang w:val="en-IE"/>
        </w:rPr>
        <w:t>2024 Rule of Law Report, Hungary, pp. 28-29</w:t>
      </w:r>
      <w:r>
        <w:rPr>
          <w:lang w:val="en-IE"/>
        </w:rPr>
        <w:t xml:space="preserve">, 2025 Rule of Law Report, Hungary, pp. 21-22. </w:t>
      </w:r>
      <w:r w:rsidRPr="00A5721F">
        <w:rPr>
          <w:lang w:val="en-IE"/>
        </w:rPr>
        <w:t xml:space="preserve">Public bodies are no longer obliged to fulfil requests for information not held directly by them, but by their subordinate entities. Additionally, state-owned enterprises are authorised to keep the data of their foreign investments secret for 10 years, and the government can block some of its decisions for 20 years instead of 10. </w:t>
      </w:r>
      <w:r>
        <w:rPr>
          <w:lang w:val="en-IE"/>
        </w:rPr>
        <w:t>Also</w:t>
      </w:r>
      <w:r w:rsidRPr="00A5721F">
        <w:rPr>
          <w:lang w:val="en-IE"/>
        </w:rPr>
        <w:t>, Act CXXVIII of 2025 introduced a new ground for rejection in the event of cybersecurity concerns.</w:t>
      </w:r>
    </w:p>
  </w:footnote>
  <w:footnote w:id="152">
    <w:p w14:paraId="7EBF3884" w14:textId="77777777" w:rsidR="00FC0AF3" w:rsidRDefault="00FC0AF3" w:rsidP="00FC0AF3">
      <w:pPr>
        <w:pStyle w:val="FootnoteText"/>
      </w:pPr>
      <w:r>
        <w:rPr>
          <w:rStyle w:val="FootnoteReference"/>
        </w:rPr>
        <w:footnoteRef/>
      </w:r>
      <w:r>
        <w:t xml:space="preserve"> </w:t>
      </w:r>
      <w:r>
        <w:tab/>
      </w:r>
      <w:r w:rsidRPr="0058155B">
        <w:t>Transparency International Hungary (2025)</w:t>
      </w:r>
      <w:r w:rsidRPr="00F324AD">
        <w:t>, pp. 15-19.</w:t>
      </w:r>
    </w:p>
  </w:footnote>
  <w:footnote w:id="153">
    <w:p w14:paraId="08E819A4" w14:textId="1EFA5A44" w:rsidR="00FC0AF3" w:rsidRPr="00702D5D" w:rsidRDefault="00FC0AF3" w:rsidP="00FC0AF3">
      <w:pPr>
        <w:pStyle w:val="FootnoteText"/>
        <w:rPr>
          <w:lang w:val="en-IE"/>
        </w:rPr>
      </w:pPr>
      <w:r w:rsidRPr="00702D5D">
        <w:rPr>
          <w:rStyle w:val="FootnoteReference"/>
          <w:lang w:val="en-IE"/>
        </w:rPr>
        <w:footnoteRef/>
      </w:r>
      <w:r w:rsidRPr="00702D5D">
        <w:rPr>
          <w:lang w:val="en-IE"/>
        </w:rPr>
        <w:t xml:space="preserve"> </w:t>
      </w:r>
      <w:r w:rsidRPr="00702D5D">
        <w:rPr>
          <w:lang w:val="en-IE"/>
        </w:rPr>
        <w:tab/>
        <w:t xml:space="preserve">Under Section 29(3) of </w:t>
      </w:r>
      <w:r w:rsidR="00DE3F82" w:rsidRPr="00DE3F82">
        <w:rPr>
          <w:lang w:val="en-IE"/>
        </w:rPr>
        <w:t>the Freedom of Information Act</w:t>
      </w:r>
      <w:r w:rsidRPr="00702D5D">
        <w:rPr>
          <w:lang w:val="en-IE"/>
        </w:rPr>
        <w:t>, the applicant is entitled to receive a copy of the documents or document section containing the data</w:t>
      </w:r>
      <w:r>
        <w:rPr>
          <w:lang w:val="en-IE"/>
        </w:rPr>
        <w:t>,</w:t>
      </w:r>
      <w:r w:rsidRPr="00702D5D">
        <w:rPr>
          <w:lang w:val="en-IE"/>
        </w:rPr>
        <w:t xml:space="preserve"> regardless of its mode of storage.</w:t>
      </w:r>
    </w:p>
  </w:footnote>
  <w:footnote w:id="154">
    <w:p w14:paraId="4B2C5B74" w14:textId="32B110F1" w:rsidR="00FC0AF3" w:rsidRPr="00C82FDD" w:rsidRDefault="00FC0AF3" w:rsidP="00FC0AF3">
      <w:pPr>
        <w:pStyle w:val="FootnoteText"/>
      </w:pPr>
      <w:r>
        <w:rPr>
          <w:rStyle w:val="FootnoteReference"/>
        </w:rPr>
        <w:footnoteRef/>
      </w:r>
      <w:r>
        <w:t xml:space="preserve"> </w:t>
      </w:r>
      <w:r>
        <w:tab/>
        <w:t>Decision 7/2020 (V. 13.) AB of the Constitutional Court found that the right to freedom of information extends to all public data and that judicial remedies must exist to fulfil this fundamental right vis-à-vis all persons handling public data.</w:t>
      </w:r>
      <w:r w:rsidR="001515BA">
        <w:t xml:space="preserve"> </w:t>
      </w:r>
      <w:r w:rsidR="001515BA" w:rsidRPr="001515BA">
        <w:t>The legislative measure directly related to this has not been implemented.</w:t>
      </w:r>
    </w:p>
  </w:footnote>
  <w:footnote w:id="155">
    <w:p w14:paraId="119D490C" w14:textId="77777777" w:rsidR="00B6298A" w:rsidRPr="0056737E" w:rsidRDefault="00B6298A" w:rsidP="00B6298A">
      <w:pPr>
        <w:pStyle w:val="FootnoteText"/>
        <w:rPr>
          <w:lang w:val="en-IE"/>
        </w:rPr>
      </w:pPr>
      <w:r w:rsidRPr="0056737E">
        <w:rPr>
          <w:rStyle w:val="FootnoteReference"/>
          <w:lang w:val="en-IE"/>
        </w:rPr>
        <w:footnoteRef/>
      </w:r>
      <w:r w:rsidRPr="0056737E">
        <w:rPr>
          <w:lang w:val="en-IE"/>
        </w:rPr>
        <w:t xml:space="preserve"> </w:t>
      </w:r>
      <w:r w:rsidRPr="0056737E">
        <w:rPr>
          <w:lang w:val="en-IE"/>
        </w:rPr>
        <w:tab/>
        <w:t xml:space="preserve">In a case related to the Budapest–Belgrade railway project, the </w:t>
      </w:r>
      <w:r w:rsidRPr="0056737E">
        <w:rPr>
          <w:i/>
          <w:iCs/>
          <w:lang w:val="en-IE"/>
        </w:rPr>
        <w:t>Kúria</w:t>
      </w:r>
      <w:r w:rsidRPr="0056737E">
        <w:rPr>
          <w:lang w:val="en-IE"/>
        </w:rPr>
        <w:t xml:space="preserve"> found that the discretionary decision by the Minister of Foreign Affairs to deny access to information based on foreign policy considerations cannot be reviewed by the court (</w:t>
      </w:r>
      <w:r>
        <w:rPr>
          <w:lang w:val="en-IE"/>
        </w:rPr>
        <w:t>j</w:t>
      </w:r>
      <w:r w:rsidRPr="0056737E">
        <w:rPr>
          <w:lang w:val="en-IE"/>
        </w:rPr>
        <w:t xml:space="preserve">udgment Pfv.IV.20.100/2022/5, 29 June 2022, confirmed by decision 3200/2025. (VI. 23.) AB of the Constitutional Court). </w:t>
      </w:r>
    </w:p>
  </w:footnote>
  <w:footnote w:id="156">
    <w:p w14:paraId="5A081D09" w14:textId="08B6523B" w:rsidR="00B6298A" w:rsidRPr="00414BEE" w:rsidRDefault="00B6298A" w:rsidP="00B6298A">
      <w:pPr>
        <w:pStyle w:val="FootnoteText"/>
        <w:rPr>
          <w:lang w:val="en-IE"/>
        </w:rPr>
      </w:pPr>
      <w:r w:rsidRPr="00414BEE">
        <w:rPr>
          <w:rStyle w:val="FootnoteReference"/>
          <w:lang w:val="en-IE"/>
        </w:rPr>
        <w:footnoteRef/>
      </w:r>
      <w:r w:rsidRPr="00414BEE">
        <w:rPr>
          <w:lang w:val="en-IE"/>
        </w:rPr>
        <w:t xml:space="preserve"> </w:t>
      </w:r>
      <w:r w:rsidRPr="00414BEE">
        <w:rPr>
          <w:lang w:val="en-IE"/>
        </w:rPr>
        <w:tab/>
      </w:r>
      <w:r>
        <w:rPr>
          <w:lang w:val="en-IE"/>
        </w:rPr>
        <w:t>In o</w:t>
      </w:r>
      <w:r w:rsidRPr="00414BEE">
        <w:rPr>
          <w:lang w:val="en-IE"/>
        </w:rPr>
        <w:t>ne case</w:t>
      </w:r>
      <w:r>
        <w:rPr>
          <w:lang w:val="en-IE"/>
        </w:rPr>
        <w:t>,</w:t>
      </w:r>
      <w:r w:rsidRPr="00414BEE">
        <w:rPr>
          <w:lang w:val="en-IE"/>
        </w:rPr>
        <w:t xml:space="preserve"> </w:t>
      </w:r>
      <w:r>
        <w:rPr>
          <w:lang w:val="en-IE"/>
        </w:rPr>
        <w:t>o</w:t>
      </w:r>
      <w:r w:rsidRPr="00414BEE">
        <w:rPr>
          <w:lang w:val="en-IE"/>
        </w:rPr>
        <w:t xml:space="preserve">verturning the lower court judgments, the </w:t>
      </w:r>
      <w:r w:rsidRPr="00414BEE">
        <w:rPr>
          <w:i/>
          <w:iCs/>
          <w:lang w:val="en-IE"/>
        </w:rPr>
        <w:t>Kúria</w:t>
      </w:r>
      <w:r w:rsidRPr="00414BEE">
        <w:rPr>
          <w:lang w:val="en-IE"/>
        </w:rPr>
        <w:t xml:space="preserve"> ruled that access </w:t>
      </w:r>
      <w:r>
        <w:rPr>
          <w:lang w:val="en-IE"/>
        </w:rPr>
        <w:t xml:space="preserve">to anonymised </w:t>
      </w:r>
      <w:r w:rsidRPr="00414BEE">
        <w:rPr>
          <w:lang w:val="en-IE"/>
        </w:rPr>
        <w:t xml:space="preserve">invoices issued by a ‘VIP ward’ of a public hospital could not be granted </w:t>
      </w:r>
      <w:r>
        <w:rPr>
          <w:lang w:val="en-IE"/>
        </w:rPr>
        <w:t>since they</w:t>
      </w:r>
      <w:r w:rsidRPr="00414BEE">
        <w:rPr>
          <w:lang w:val="en-IE"/>
        </w:rPr>
        <w:t xml:space="preserve"> might still contain information that could be used to identify the patients (judgment Pfv.IV.21.030/2025. of the </w:t>
      </w:r>
      <w:r w:rsidRPr="00414BEE">
        <w:rPr>
          <w:i/>
          <w:iCs/>
          <w:lang w:val="en-IE"/>
        </w:rPr>
        <w:t>Kúria</w:t>
      </w:r>
      <w:r w:rsidRPr="00414BEE">
        <w:rPr>
          <w:lang w:val="en-IE"/>
        </w:rPr>
        <w:t xml:space="preserve"> of 17 November 2025). In another case, the </w:t>
      </w:r>
      <w:r w:rsidRPr="00414BEE">
        <w:rPr>
          <w:i/>
          <w:iCs/>
          <w:lang w:val="en-IE"/>
        </w:rPr>
        <w:t>Kúria</w:t>
      </w:r>
      <w:r w:rsidRPr="00414BEE">
        <w:rPr>
          <w:lang w:val="en-IE"/>
        </w:rPr>
        <w:t xml:space="preserve"> overturned the appeal court’s ruling and decided that decisions rejecting access to large data sets (in this case, government decisions) could not be challenged in a single lawsuit</w:t>
      </w:r>
      <w:r>
        <w:rPr>
          <w:lang w:val="en-IE"/>
        </w:rPr>
        <w:t>, but</w:t>
      </w:r>
      <w:r w:rsidRPr="00414BEE">
        <w:rPr>
          <w:lang w:val="en-IE"/>
        </w:rPr>
        <w:t xml:space="preserve"> separate claims had to be submitted regarding each element of the sought-after dataset (order IV.Pfv.20.614/2025/8-II. of the </w:t>
      </w:r>
      <w:r w:rsidRPr="00414BEE">
        <w:rPr>
          <w:i/>
          <w:iCs/>
          <w:lang w:val="en-IE"/>
        </w:rPr>
        <w:t>Kúria</w:t>
      </w:r>
      <w:r w:rsidRPr="00414BEE">
        <w:rPr>
          <w:lang w:val="en-IE"/>
        </w:rPr>
        <w:t xml:space="preserve"> of 10 September 2025). </w:t>
      </w:r>
    </w:p>
  </w:footnote>
  <w:footnote w:id="157">
    <w:p w14:paraId="044ECDA5" w14:textId="77777777" w:rsidR="00B6298A" w:rsidRPr="00430343" w:rsidRDefault="00B6298A" w:rsidP="00B6298A">
      <w:pPr>
        <w:pStyle w:val="FootnoteText"/>
        <w:rPr>
          <w:lang w:val="hu-HU"/>
        </w:rPr>
      </w:pPr>
      <w:r>
        <w:rPr>
          <w:rStyle w:val="FootnoteReference"/>
        </w:rPr>
        <w:footnoteRef/>
      </w:r>
      <w:r>
        <w:tab/>
        <w:t>Section 26 of the omnibus law of June 2026 introducing Section 26(1a) to the Freedom of Information Act.</w:t>
      </w:r>
    </w:p>
  </w:footnote>
  <w:footnote w:id="158">
    <w:p w14:paraId="5E33F194" w14:textId="77777777" w:rsidR="00B6298A" w:rsidRPr="001966C9" w:rsidRDefault="00B6298A" w:rsidP="00B6298A">
      <w:pPr>
        <w:pStyle w:val="FootnoteText"/>
        <w:rPr>
          <w:lang w:val="en-IE"/>
        </w:rPr>
      </w:pPr>
      <w:r>
        <w:rPr>
          <w:rStyle w:val="FootnoteReference"/>
        </w:rPr>
        <w:footnoteRef/>
      </w:r>
      <w:r>
        <w:tab/>
        <w:t>Section 30 of the omnibus law of June 2026 repealing Section 30(2a) of the Freedom of Information Act. That provision, introduced a</w:t>
      </w:r>
      <w:r w:rsidRPr="00851A53">
        <w:t>s of 1 January 2024, provide</w:t>
      </w:r>
      <w:r>
        <w:t>d</w:t>
      </w:r>
      <w:r w:rsidRPr="00851A53">
        <w:t xml:space="preserve"> that public service entities may deny a freedom of information request if granting it would require the collection of data from another public service entity or would require the production of new data by comparing data in possession of the two entities</w:t>
      </w:r>
      <w:r>
        <w:t xml:space="preserve"> (see 2024 Rule of Law Report, Hungary, p. 29).</w:t>
      </w:r>
    </w:p>
  </w:footnote>
  <w:footnote w:id="159">
    <w:p w14:paraId="09C7B547" w14:textId="77777777" w:rsidR="00B6298A" w:rsidRPr="00C82FDD" w:rsidRDefault="00B6298A" w:rsidP="00B6298A">
      <w:pPr>
        <w:pStyle w:val="FootnoteText"/>
      </w:pPr>
      <w:r w:rsidRPr="007801F1">
        <w:rPr>
          <w:rStyle w:val="FootnoteReference"/>
          <w:lang w:val="en-IE"/>
        </w:rPr>
        <w:footnoteRef/>
      </w:r>
      <w:r w:rsidRPr="00D671D2">
        <w:rPr>
          <w:lang w:val="sv-SE"/>
        </w:rPr>
        <w:t xml:space="preserve"> </w:t>
      </w:r>
      <w:r w:rsidRPr="00D671D2">
        <w:rPr>
          <w:lang w:val="sv-SE"/>
        </w:rPr>
        <w:tab/>
        <w:t xml:space="preserve">Amnesty International Hungary et al. </w:t>
      </w:r>
      <w:r w:rsidRPr="007801F1">
        <w:rPr>
          <w:lang w:val="en-IE"/>
        </w:rPr>
        <w:t>(2026), pp. 92-93. The execution of the ECtHR judgment in case</w:t>
      </w:r>
      <w:r>
        <w:t xml:space="preserve"> </w:t>
      </w:r>
      <w:r w:rsidRPr="00DB633E">
        <w:rPr>
          <w:i/>
          <w:iCs/>
        </w:rPr>
        <w:t>Kenedi v Hungary</w:t>
      </w:r>
      <w:r>
        <w:t xml:space="preserve"> is still pending. On 11 June 2026, the Committee of Ministers of the Council of Europe c</w:t>
      </w:r>
      <w:r w:rsidRPr="00483412">
        <w:t xml:space="preserve">alled again on the </w:t>
      </w:r>
      <w:r>
        <w:t xml:space="preserve">Hungarian </w:t>
      </w:r>
      <w:r w:rsidRPr="00483412">
        <w:t>authorities to adopt additional targeted general measures (i) to address the recurring reluctance of state authorities to comply with the domestic courts’ orders granting access to documents, and (ii) to ensure that effective and genuinely coercive enforcement tools are available for the implementation of such orders</w:t>
      </w:r>
      <w:r>
        <w:t xml:space="preserve"> (</w:t>
      </w:r>
      <w:r w:rsidRPr="001E1F2C">
        <w:t>CM/Del/Dec(2026)1563/H46-17</w:t>
      </w:r>
      <w:r>
        <w:t>).</w:t>
      </w:r>
    </w:p>
  </w:footnote>
  <w:footnote w:id="160">
    <w:p w14:paraId="4D821798" w14:textId="77777777" w:rsidR="00B6298A" w:rsidRPr="00E9128E" w:rsidRDefault="00B6298A" w:rsidP="00B6298A">
      <w:pPr>
        <w:pStyle w:val="FootnoteText"/>
        <w:rPr>
          <w:lang w:val="hu-HU"/>
        </w:rPr>
      </w:pPr>
      <w:r>
        <w:rPr>
          <w:rStyle w:val="FootnoteReference"/>
        </w:rPr>
        <w:footnoteRef/>
      </w:r>
      <w:r>
        <w:tab/>
        <w:t xml:space="preserve">Section 27(2) and (3) of the omnibus law of June 2026 amending Section 37/C(2) and (3) of the Freedom of Information Act. Under the law, the Register will </w:t>
      </w:r>
      <w:r w:rsidRPr="000B639D">
        <w:t>enabl</w:t>
      </w:r>
      <w:r>
        <w:t>e</w:t>
      </w:r>
      <w:r w:rsidRPr="000B639D">
        <w:t xml:space="preserve"> machine readability, bulk download, grouping, searchability, extraction and comparability of data</w:t>
      </w:r>
      <w:r>
        <w:t>.</w:t>
      </w:r>
    </w:p>
  </w:footnote>
  <w:footnote w:id="161">
    <w:p w14:paraId="12D001E8" w14:textId="77777777" w:rsidR="00B6298A" w:rsidRPr="001966C9" w:rsidRDefault="00B6298A" w:rsidP="00B6298A">
      <w:pPr>
        <w:pStyle w:val="FootnoteText"/>
        <w:rPr>
          <w:lang w:val="en-IE"/>
        </w:rPr>
      </w:pPr>
      <w:r>
        <w:rPr>
          <w:rStyle w:val="FootnoteReference"/>
        </w:rPr>
        <w:footnoteRef/>
      </w:r>
      <w:r>
        <w:tab/>
        <w:t xml:space="preserve">Section 27(1) of Act of the omnibus law of June 2026 amending Section 37/C(1) of the Freedom of Information Act. The list now also </w:t>
      </w:r>
      <w:r w:rsidRPr="00A121F8">
        <w:t>includ</w:t>
      </w:r>
      <w:r>
        <w:t>es</w:t>
      </w:r>
      <w:r w:rsidRPr="00A121F8">
        <w:t xml:space="preserve"> public interest trusts and entities maintained by them, publicly owned companies and their foundations and the HUN-REN Hungarian Research Network</w:t>
      </w:r>
      <w:r>
        <w:t>.</w:t>
      </w:r>
    </w:p>
  </w:footnote>
  <w:footnote w:id="162">
    <w:p w14:paraId="1BDDCB20" w14:textId="77777777" w:rsidR="00B6298A" w:rsidRPr="007448C9" w:rsidRDefault="00B6298A" w:rsidP="00B6298A">
      <w:pPr>
        <w:pStyle w:val="FootnoteText"/>
      </w:pPr>
      <w:r>
        <w:rPr>
          <w:rStyle w:val="FootnoteReference"/>
        </w:rPr>
        <w:footnoteRef/>
      </w:r>
      <w:r>
        <w:t xml:space="preserve"> </w:t>
      </w:r>
      <w:r>
        <w:tab/>
      </w:r>
      <w:r w:rsidRPr="00B05C18">
        <w:t>Media Pluralism Monitor (202</w:t>
      </w:r>
      <w:r>
        <w:t>6</w:t>
      </w:r>
      <w:r w:rsidRPr="00B05C18">
        <w:t xml:space="preserve">), </w:t>
      </w:r>
      <w:r w:rsidRPr="001E21D9">
        <w:t xml:space="preserve">p. </w:t>
      </w:r>
      <w:r>
        <w:t>14.</w:t>
      </w:r>
    </w:p>
  </w:footnote>
  <w:footnote w:id="163">
    <w:p w14:paraId="0016B564" w14:textId="77777777" w:rsidR="00CC6891" w:rsidRPr="000673B9" w:rsidRDefault="00CC6891" w:rsidP="00CC6891">
      <w:pPr>
        <w:pStyle w:val="FootnoteText"/>
      </w:pPr>
      <w:r>
        <w:rPr>
          <w:rStyle w:val="FootnoteReference"/>
        </w:rPr>
        <w:footnoteRef/>
      </w:r>
      <w:r>
        <w:t xml:space="preserve"> </w:t>
      </w:r>
      <w:r>
        <w:tab/>
        <w:t xml:space="preserve">Mertek Media Monitor (2026), International Press Institute (2026) and Reporters Without Borders (2026). </w:t>
      </w:r>
    </w:p>
  </w:footnote>
  <w:footnote w:id="164">
    <w:p w14:paraId="02397DC5" w14:textId="77777777" w:rsidR="00CC6891" w:rsidRPr="009F2C5E" w:rsidRDefault="00CC6891" w:rsidP="00CC6891">
      <w:pPr>
        <w:pStyle w:val="FootnoteText"/>
      </w:pPr>
      <w:r>
        <w:rPr>
          <w:rStyle w:val="FootnoteReference"/>
        </w:rPr>
        <w:footnoteRef/>
      </w:r>
      <w:r>
        <w:t xml:space="preserve"> </w:t>
      </w:r>
      <w:r>
        <w:tab/>
        <w:t xml:space="preserve">Foremost among which the Sovereignty Protection Act. </w:t>
      </w:r>
    </w:p>
  </w:footnote>
  <w:footnote w:id="165">
    <w:p w14:paraId="729AAA22" w14:textId="77777777" w:rsidR="00CC6891" w:rsidRPr="00B9765C" w:rsidRDefault="00CC6891" w:rsidP="00CC6891">
      <w:pPr>
        <w:pStyle w:val="FootnoteText"/>
      </w:pPr>
      <w:r>
        <w:rPr>
          <w:rStyle w:val="FootnoteReference"/>
        </w:rPr>
        <w:footnoteRef/>
      </w:r>
      <w:r>
        <w:t xml:space="preserve"> </w:t>
      </w:r>
      <w:r>
        <w:tab/>
        <w:t xml:space="preserve">From government press conferences and other events. </w:t>
      </w:r>
    </w:p>
  </w:footnote>
  <w:footnote w:id="166">
    <w:p w14:paraId="327DD15C" w14:textId="77777777" w:rsidR="00CC6891" w:rsidRPr="008A78B7" w:rsidRDefault="00CC6891" w:rsidP="00CC6891">
      <w:pPr>
        <w:pStyle w:val="FootnoteText"/>
      </w:pPr>
      <w:r>
        <w:rPr>
          <w:rStyle w:val="FootnoteReference"/>
        </w:rPr>
        <w:footnoteRef/>
      </w:r>
      <w:r>
        <w:t xml:space="preserve"> </w:t>
      </w:r>
      <w:r>
        <w:tab/>
        <w:t>The Repression of Independent Media in Hungary 2010-2025 (2026), Rule of Law Lab and Mertek Media Monitor.</w:t>
      </w:r>
    </w:p>
  </w:footnote>
  <w:footnote w:id="167">
    <w:p w14:paraId="1FD57331" w14:textId="77777777" w:rsidR="00CC6891" w:rsidRPr="00611B92" w:rsidRDefault="00CC6891" w:rsidP="00CC6891">
      <w:pPr>
        <w:pStyle w:val="FootnoteText"/>
      </w:pPr>
      <w:r>
        <w:rPr>
          <w:rStyle w:val="FootnoteReference"/>
        </w:rPr>
        <w:footnoteRef/>
      </w:r>
      <w:r>
        <w:t xml:space="preserve"> </w:t>
      </w:r>
      <w:r>
        <w:tab/>
      </w:r>
      <w:r w:rsidRPr="00B05C18">
        <w:t>Media Pluralism Monitor (202</w:t>
      </w:r>
      <w:r>
        <w:t>6</w:t>
      </w:r>
      <w:r w:rsidRPr="00B05C18">
        <w:t xml:space="preserve">), </w:t>
      </w:r>
      <w:r w:rsidRPr="00E700C1">
        <w:t xml:space="preserve">pp. 14-15. </w:t>
      </w:r>
    </w:p>
  </w:footnote>
  <w:footnote w:id="168">
    <w:p w14:paraId="5AB0DE30" w14:textId="77777777" w:rsidR="00CC6891" w:rsidRPr="007C7F76" w:rsidRDefault="00CC6891" w:rsidP="00CC6891">
      <w:pPr>
        <w:pStyle w:val="FootnoteText"/>
      </w:pPr>
      <w:r>
        <w:rPr>
          <w:rStyle w:val="FootnoteReference"/>
        </w:rPr>
        <w:footnoteRef/>
      </w:r>
      <w:r>
        <w:t xml:space="preserve"> </w:t>
      </w:r>
      <w:r>
        <w:tab/>
      </w:r>
      <w:r w:rsidRPr="00770C47">
        <w:t>Council of Europe Platform to promote the protection of journalism and safety of journalists (202</w:t>
      </w:r>
      <w:r>
        <w:t>6</w:t>
      </w:r>
      <w:r w:rsidRPr="00770C47">
        <w:t>).</w:t>
      </w:r>
    </w:p>
  </w:footnote>
  <w:footnote w:id="169">
    <w:p w14:paraId="4E48CAE7" w14:textId="77777777" w:rsidR="00CC6891" w:rsidRPr="001D691C" w:rsidRDefault="00CC6891" w:rsidP="00CC6891">
      <w:pPr>
        <w:pStyle w:val="FootnoteText"/>
      </w:pPr>
      <w:r>
        <w:rPr>
          <w:rStyle w:val="FootnoteReference"/>
        </w:rPr>
        <w:footnoteRef/>
      </w:r>
      <w:r>
        <w:t xml:space="preserve"> </w:t>
      </w:r>
      <w:r>
        <w:tab/>
      </w:r>
      <w:r w:rsidRPr="00E17E6F">
        <w:t>European Centre for Press and Media Freedom (202</w:t>
      </w:r>
      <w:r>
        <w:t>6</w:t>
      </w:r>
      <w:r w:rsidRPr="00E17E6F">
        <w:t>).</w:t>
      </w:r>
    </w:p>
  </w:footnote>
  <w:footnote w:id="170">
    <w:p w14:paraId="7D3ACA49" w14:textId="0E500C90" w:rsidR="00FC0AF3" w:rsidRPr="006536D8" w:rsidRDefault="00FC0AF3" w:rsidP="00FC0AF3">
      <w:pPr>
        <w:pStyle w:val="FootnoteText"/>
      </w:pPr>
      <w:r w:rsidRPr="006536D8">
        <w:rPr>
          <w:rStyle w:val="FootnoteReference"/>
        </w:rPr>
        <w:footnoteRef/>
      </w:r>
      <w:r w:rsidRPr="006536D8">
        <w:t xml:space="preserve"> </w:t>
      </w:r>
      <w:r w:rsidRPr="006536D8">
        <w:tab/>
      </w:r>
      <w:r>
        <w:t xml:space="preserve">See 2025 Rule of Law Report, Hungary, p. 23. </w:t>
      </w:r>
      <w:r w:rsidRPr="006536D8">
        <w:t xml:space="preserve">Government Decree 343/2025 of 31 October 2025 amended Government Decree 424/2022 of 28 October 2022 by </w:t>
      </w:r>
      <w:r>
        <w:t xml:space="preserve">further </w:t>
      </w:r>
      <w:r w:rsidRPr="006536D8">
        <w:t xml:space="preserve">extending the ‘state of danger’ until 13 May 2026. The Government needed an authorisation from the National Assembly to extend the ‘state of danger’. This authorisation was given through Section 2(1) of Act XLII of 2022, as amended by Act 2025 of LXXVII. </w:t>
      </w:r>
      <w:r w:rsidR="00B83E91" w:rsidRPr="006536D8">
        <w:t>Act XLII of 2022</w:t>
      </w:r>
      <w:r w:rsidR="00300762">
        <w:t xml:space="preserve"> became </w:t>
      </w:r>
      <w:r w:rsidR="00BF3868">
        <w:t>inapplicable on 15 May 2026</w:t>
      </w:r>
      <w:r w:rsidR="00FC2FA2">
        <w:t xml:space="preserve"> (see Section 6(2))</w:t>
      </w:r>
      <w:r w:rsidR="00BF3868">
        <w:t xml:space="preserve">. </w:t>
      </w:r>
      <w:r w:rsidRPr="006536D8">
        <w:t>In parallel, Hungary has been under a ‘crisis situation caused by mass immigration’ since 10 March 2016</w:t>
      </w:r>
      <w:r w:rsidRPr="00414BEE">
        <w:t>; this has been further extended until 7 September 2026</w:t>
      </w:r>
      <w:r w:rsidRPr="006536D8">
        <w:t>.</w:t>
      </w:r>
    </w:p>
  </w:footnote>
  <w:footnote w:id="171">
    <w:p w14:paraId="536F447C" w14:textId="77777777" w:rsidR="00FC0AF3" w:rsidRPr="006536D8" w:rsidRDefault="00FC0AF3" w:rsidP="00FC0AF3">
      <w:pPr>
        <w:pStyle w:val="FootnoteText"/>
      </w:pPr>
      <w:r w:rsidRPr="006536D8">
        <w:rPr>
          <w:rStyle w:val="FootnoteReference"/>
        </w:rPr>
        <w:footnoteRef/>
      </w:r>
      <w:r w:rsidRPr="006536D8">
        <w:t xml:space="preserve"> </w:t>
      </w:r>
      <w:r w:rsidRPr="006536D8">
        <w:tab/>
        <w:t>E.g. Government Decree 129/2025 of 5 June 2025 prohibited credit institutions from decommissioning automatic teller machines. Government Decree 358/2025 of 13 November 2025 amended the rules on the sectoral tax for credit institutions and financial enterprises. Government Decrees 252/2025 of 7 August 2025, 304/2025 of 6 October 2025 and 324/2025 of 20 October 2025 amended the rules on reorganisation, bankruptcy and winding-up of certain companies. Government Decree 293/2025 of 24 September 2025 granted the Minister of Justice full access to all documents and information related to the ongoing criminal investigation into the alleged crimes committed in a secured youth detention centre.</w:t>
      </w:r>
      <w:r>
        <w:t xml:space="preserve"> Government Decree </w:t>
      </w:r>
      <w:r w:rsidRPr="00F83923">
        <w:t xml:space="preserve">49/2026 </w:t>
      </w:r>
      <w:r>
        <w:t xml:space="preserve">of 9 March 2026 introduced </w:t>
      </w:r>
      <w:r w:rsidRPr="00C03B70">
        <w:t xml:space="preserve">measures </w:t>
      </w:r>
      <w:r>
        <w:t>‘</w:t>
      </w:r>
      <w:r w:rsidRPr="00C03B70">
        <w:t xml:space="preserve">necessary in </w:t>
      </w:r>
      <w:r>
        <w:t xml:space="preserve">the interest of national security in </w:t>
      </w:r>
      <w:r w:rsidRPr="00C03B70">
        <w:t xml:space="preserve">connection with the unusual quantities of cash and gold bars transported </w:t>
      </w:r>
      <w:r>
        <w:t>through</w:t>
      </w:r>
      <w:r w:rsidRPr="00C03B70">
        <w:t xml:space="preserve"> the territory of Hungary</w:t>
      </w:r>
      <w:r>
        <w:t>’.</w:t>
      </w:r>
    </w:p>
  </w:footnote>
  <w:footnote w:id="172">
    <w:p w14:paraId="6EA32D86" w14:textId="6E427988" w:rsidR="00FC0AF3" w:rsidRPr="006536D8" w:rsidRDefault="00FC0AF3" w:rsidP="00FC0AF3">
      <w:pPr>
        <w:pStyle w:val="FootnoteText"/>
      </w:pPr>
      <w:r w:rsidRPr="006536D8">
        <w:rPr>
          <w:rStyle w:val="FootnoteReference"/>
        </w:rPr>
        <w:footnoteRef/>
      </w:r>
      <w:r w:rsidRPr="006536D8">
        <w:t xml:space="preserve"> </w:t>
      </w:r>
      <w:r w:rsidRPr="006536D8">
        <w:tab/>
        <w:t xml:space="preserve">In 2025, the Constitutional Court considered 24 cases based on constitutional complaints, judicial initiatives, or petitions for posterior norm control, with the aim of reviewing the constitutionality of emergency measures. Nine petitions were rejected on formal grounds, and the Court discontinued the procedure in 15 cases because the challenged norm had been repealed in the meantime. </w:t>
      </w:r>
      <w:r w:rsidR="00571F0F">
        <w:t xml:space="preserve">According to the </w:t>
      </w:r>
      <w:r w:rsidR="00BA2741">
        <w:t xml:space="preserve">new </w:t>
      </w:r>
      <w:r w:rsidR="00571F0F">
        <w:t>Government, t</w:t>
      </w:r>
      <w:r w:rsidR="00571F0F" w:rsidRPr="00571F0F">
        <w:t>he Constitutional Court adjudicates within the limits of the petitions submitted to it and has no power to review emergency measures of its own motion (ex officio).</w:t>
      </w:r>
    </w:p>
  </w:footnote>
  <w:footnote w:id="173">
    <w:p w14:paraId="05165DC7" w14:textId="77777777" w:rsidR="00FC0AF3" w:rsidRDefault="00FC0AF3" w:rsidP="00FC0AF3">
      <w:pPr>
        <w:pStyle w:val="FootnoteText"/>
      </w:pPr>
      <w:r>
        <w:rPr>
          <w:rStyle w:val="FootnoteReference"/>
        </w:rPr>
        <w:footnoteRef/>
      </w:r>
      <w:r>
        <w:t xml:space="preserve"> </w:t>
      </w:r>
      <w:r>
        <w:tab/>
        <w:t>E.g. Act L of 2025 ‘on raising emergency decrees promulgated in view of the armed conflict in Ukraine to the level of an Act of Parliament’; Act CXXV of 2025 ‘on the amendment of certain Acts of Parliament serving to protect public order and strengthen public safety, combat terrorism and maintain unity of the legal system’, Act XIV of 2026 ‘on raising emergency decrees promulgated in view of the armed conflict in Ukraine to the level of an Act of Parliament’.</w:t>
      </w:r>
    </w:p>
  </w:footnote>
  <w:footnote w:id="174">
    <w:p w14:paraId="46184494" w14:textId="77777777" w:rsidR="00FC0AF3" w:rsidRPr="003354F9" w:rsidRDefault="00FC0AF3" w:rsidP="00FC0AF3">
      <w:pPr>
        <w:pStyle w:val="FootnoteText"/>
        <w:rPr>
          <w:lang w:val="en-IE"/>
        </w:rPr>
      </w:pPr>
      <w:r w:rsidRPr="003354F9">
        <w:rPr>
          <w:rStyle w:val="FootnoteReference"/>
          <w:lang w:val="en-IE"/>
        </w:rPr>
        <w:footnoteRef/>
      </w:r>
      <w:r w:rsidRPr="00D671D2">
        <w:rPr>
          <w:lang w:val="sv-SE"/>
        </w:rPr>
        <w:t xml:space="preserve"> </w:t>
      </w:r>
      <w:r w:rsidRPr="00D671D2">
        <w:rPr>
          <w:lang w:val="sv-SE"/>
        </w:rPr>
        <w:tab/>
        <w:t xml:space="preserve">Amnesty International Hungary et al. </w:t>
      </w:r>
      <w:r w:rsidRPr="003354F9">
        <w:rPr>
          <w:lang w:val="en-IE"/>
        </w:rPr>
        <w:t>(2026), p. 80.</w:t>
      </w:r>
      <w:r>
        <w:rPr>
          <w:lang w:val="en-IE"/>
        </w:rPr>
        <w:t xml:space="preserve"> See also 2025 Rule of Law Report, Hungary, p. 23.</w:t>
      </w:r>
    </w:p>
  </w:footnote>
  <w:footnote w:id="175">
    <w:p w14:paraId="2C0BBED4" w14:textId="77777777" w:rsidR="00FC0AF3" w:rsidRPr="003354F9" w:rsidRDefault="00FC0AF3" w:rsidP="00FC0AF3">
      <w:pPr>
        <w:pStyle w:val="FootnoteText"/>
        <w:rPr>
          <w:lang w:val="en-IE"/>
        </w:rPr>
      </w:pPr>
      <w:r w:rsidRPr="003354F9">
        <w:rPr>
          <w:rStyle w:val="FootnoteReference"/>
          <w:lang w:val="en-IE"/>
        </w:rPr>
        <w:footnoteRef/>
      </w:r>
      <w:r w:rsidRPr="003354F9">
        <w:rPr>
          <w:lang w:val="en-IE"/>
        </w:rPr>
        <w:t xml:space="preserve"> </w:t>
      </w:r>
      <w:r w:rsidRPr="003354F9">
        <w:rPr>
          <w:lang w:val="en-IE"/>
        </w:rPr>
        <w:tab/>
        <w:t>Country visit Hungary, Hungarian Chamber of Commerce and Industry. According to European standards, the legislative process needs to be efficient, transparent, inclusive and democratic, and the legislature should follow the standard legislative procedure and avoid resorting to expedited adoption of legal acts on a regular basis (Venice Commission, Updated Rule of Law Checklist (December 2025), para. 34).</w:t>
      </w:r>
    </w:p>
  </w:footnote>
  <w:footnote w:id="176">
    <w:p w14:paraId="59A4956B" w14:textId="67348866" w:rsidR="00FC0AF3" w:rsidRPr="003354F9" w:rsidRDefault="00FC0AF3" w:rsidP="00FC0AF3">
      <w:pPr>
        <w:pStyle w:val="FootnoteText"/>
        <w:rPr>
          <w:lang w:val="en-IE"/>
        </w:rPr>
      </w:pPr>
      <w:r w:rsidRPr="003354F9">
        <w:rPr>
          <w:rStyle w:val="FootnoteReference"/>
          <w:lang w:val="en-IE"/>
        </w:rPr>
        <w:footnoteRef/>
      </w:r>
      <w:r w:rsidRPr="007B47EC">
        <w:rPr>
          <w:lang w:val="en-IE"/>
        </w:rPr>
        <w:t xml:space="preserve"> </w:t>
      </w:r>
      <w:r w:rsidRPr="007B47EC">
        <w:rPr>
          <w:lang w:val="en-IE"/>
        </w:rPr>
        <w:tab/>
        <w:t xml:space="preserve">Amnesty International Hungary et al. </w:t>
      </w:r>
      <w:r w:rsidRPr="003354F9">
        <w:rPr>
          <w:lang w:val="en-IE"/>
        </w:rPr>
        <w:t xml:space="preserve">(2026), p. 75, Háttér Society (2026), p. 20. The statutory minimum consultation period of eight days is observed, regardless of the length and complexity of the draft law. </w:t>
      </w:r>
      <w:r>
        <w:rPr>
          <w:lang w:val="en-IE"/>
        </w:rPr>
        <w:t>E</w:t>
      </w:r>
      <w:r w:rsidRPr="003354F9">
        <w:rPr>
          <w:lang w:val="en-IE"/>
        </w:rPr>
        <w:t xml:space="preserve">xplanatory memoranda are very brief, often containing one general sentence. The authorities ignore the overwhelming majority of stakeholder contributions without providing any meaningful reasoning. Some pieces of legislation are presented to Parliament or adopted while the consultation period is still open. The government control body conducts annual audits to verify whether the ministers responsible for preparing legislation fulfil their obligations under </w:t>
      </w:r>
      <w:r w:rsidR="00797332">
        <w:rPr>
          <w:lang w:val="en-IE"/>
        </w:rPr>
        <w:t xml:space="preserve">the Public Participation </w:t>
      </w:r>
      <w:r w:rsidRPr="003354F9">
        <w:rPr>
          <w:lang w:val="en-IE"/>
        </w:rPr>
        <w:t>Act and prepares an annual report on the results of the audits and the fines imposed.</w:t>
      </w:r>
    </w:p>
  </w:footnote>
  <w:footnote w:id="177">
    <w:p w14:paraId="1A0511E0" w14:textId="22C1EA18" w:rsidR="00FC0AF3" w:rsidRPr="00C13E6E" w:rsidRDefault="00FC0AF3" w:rsidP="00FC0AF3">
      <w:pPr>
        <w:pStyle w:val="FootnoteText"/>
      </w:pPr>
      <w:r w:rsidRPr="003354F9">
        <w:rPr>
          <w:rStyle w:val="FootnoteReference"/>
          <w:lang w:val="en-IE"/>
        </w:rPr>
        <w:footnoteRef/>
      </w:r>
      <w:r w:rsidRPr="00D671D2">
        <w:rPr>
          <w:lang w:val="sv-SE"/>
        </w:rPr>
        <w:t xml:space="preserve"> </w:t>
      </w:r>
      <w:r w:rsidRPr="00D671D2">
        <w:rPr>
          <w:lang w:val="sv-SE"/>
        </w:rPr>
        <w:tab/>
        <w:t xml:space="preserve">Amnesty International Hungary et al. </w:t>
      </w:r>
      <w:r w:rsidRPr="003354F9">
        <w:rPr>
          <w:lang w:val="en-IE"/>
        </w:rPr>
        <w:t>(2026), p. 76. As of 15 January 2025, a new impact assessment sheet was introduced</w:t>
      </w:r>
      <w:r w:rsidRPr="001619BB">
        <w:t xml:space="preserve">. </w:t>
      </w:r>
      <w:r w:rsidR="00C83DF6">
        <w:t xml:space="preserve">According to the new Government, </w:t>
      </w:r>
      <w:r w:rsidR="00C83DF6" w:rsidRPr="00C83DF6">
        <w:t xml:space="preserve">the procedure of public consultation complies with the provisions of </w:t>
      </w:r>
      <w:r w:rsidR="00B57AB0">
        <w:t xml:space="preserve">Public Participation </w:t>
      </w:r>
      <w:r w:rsidR="00C83DF6" w:rsidRPr="00C83DF6">
        <w:t>Act.</w:t>
      </w:r>
    </w:p>
  </w:footnote>
  <w:footnote w:id="178">
    <w:p w14:paraId="2CA19934" w14:textId="070BB701" w:rsidR="00340851" w:rsidRPr="001966C9" w:rsidRDefault="00340851">
      <w:pPr>
        <w:pStyle w:val="FootnoteText"/>
        <w:rPr>
          <w:lang w:val="en-IE"/>
        </w:rPr>
      </w:pPr>
      <w:r>
        <w:rPr>
          <w:rStyle w:val="FootnoteReference"/>
        </w:rPr>
        <w:footnoteRef/>
      </w:r>
      <w:r>
        <w:tab/>
      </w:r>
      <w:r w:rsidR="00825524">
        <w:t>Th</w:t>
      </w:r>
      <w:r w:rsidR="00650B6E">
        <w:t xml:space="preserve">ese topics include </w:t>
      </w:r>
      <w:r w:rsidR="00650B6E" w:rsidRPr="00650B6E">
        <w:t xml:space="preserve">the decree determining the names that parents can legally give to their children, as well as all matters relating to nature conservation or environmental protection </w:t>
      </w:r>
      <w:r w:rsidR="00906079">
        <w:t xml:space="preserve">(see </w:t>
      </w:r>
      <w:r w:rsidR="00647B97">
        <w:t xml:space="preserve">Section 13 of </w:t>
      </w:r>
      <w:r w:rsidR="00713459">
        <w:t>the omnibus law</w:t>
      </w:r>
      <w:r w:rsidR="00D62DFB">
        <w:t xml:space="preserve"> of </w:t>
      </w:r>
      <w:r w:rsidR="00713459">
        <w:t xml:space="preserve">June </w:t>
      </w:r>
      <w:r w:rsidR="00D62DFB">
        <w:t>2026</w:t>
      </w:r>
      <w:r w:rsidR="00647B97">
        <w:t>,</w:t>
      </w:r>
      <w:r w:rsidR="00D62DFB">
        <w:t xml:space="preserve"> amending Section </w:t>
      </w:r>
      <w:r w:rsidR="00983D87">
        <w:t xml:space="preserve">5 of </w:t>
      </w:r>
      <w:r w:rsidR="00C65EA9">
        <w:t xml:space="preserve">the </w:t>
      </w:r>
      <w:r w:rsidR="00152B16">
        <w:t xml:space="preserve">Public Participation </w:t>
      </w:r>
      <w:r w:rsidR="001901B4" w:rsidRPr="001901B4">
        <w:t>Act</w:t>
      </w:r>
      <w:r w:rsidR="00906079">
        <w:t>)</w:t>
      </w:r>
      <w:r w:rsidR="00367679">
        <w:t>.</w:t>
      </w:r>
    </w:p>
  </w:footnote>
  <w:footnote w:id="179">
    <w:p w14:paraId="46D237D6" w14:textId="6D23611C" w:rsidR="002B24A5" w:rsidRPr="001966C9" w:rsidRDefault="002B24A5">
      <w:pPr>
        <w:pStyle w:val="FootnoteText"/>
        <w:rPr>
          <w:lang w:val="en-IE"/>
        </w:rPr>
      </w:pPr>
      <w:r>
        <w:rPr>
          <w:rStyle w:val="FootnoteReference"/>
        </w:rPr>
        <w:footnoteRef/>
      </w:r>
      <w:r>
        <w:tab/>
      </w:r>
      <w:r w:rsidR="0086703F" w:rsidRPr="0086703F">
        <w:t xml:space="preserve">The Committee will also facilitate thematic public hearings involving </w:t>
      </w:r>
      <w:r w:rsidR="008534B5">
        <w:t>CSO</w:t>
      </w:r>
      <w:r w:rsidR="0086703F" w:rsidRPr="0086703F">
        <w:t>s, trade unions, economic chambers, and other organisations representing various social interests, to determine whether the Parliament’s further legislative action is necessary</w:t>
      </w:r>
      <w:r w:rsidR="00654A61">
        <w:t xml:space="preserve"> (</w:t>
      </w:r>
      <w:r w:rsidR="006C7C49">
        <w:t>additional input from the new Government</w:t>
      </w:r>
      <w:r w:rsidR="00654A61">
        <w:t>)</w:t>
      </w:r>
      <w:r w:rsidR="0086703F" w:rsidRPr="0086703F">
        <w:t>.</w:t>
      </w:r>
    </w:p>
  </w:footnote>
  <w:footnote w:id="180">
    <w:p w14:paraId="4F8B7659" w14:textId="77777777" w:rsidR="00FC0AF3" w:rsidRPr="006536D8" w:rsidRDefault="00FC0AF3" w:rsidP="00FC0AF3">
      <w:pPr>
        <w:pStyle w:val="FootnoteText"/>
      </w:pPr>
      <w:r w:rsidRPr="006536D8">
        <w:rPr>
          <w:rStyle w:val="FootnoteReference"/>
        </w:rPr>
        <w:footnoteRef/>
      </w:r>
      <w:r w:rsidRPr="006536D8">
        <w:t xml:space="preserve"> </w:t>
      </w:r>
      <w:r w:rsidRPr="006536D8">
        <w:tab/>
      </w:r>
      <w:r w:rsidRPr="00E539E7">
        <w:t>Primarily used to expedite bills that require relatively quick adoption without completely bypassing parliamentary debate.</w:t>
      </w:r>
      <w:r>
        <w:t xml:space="preserve"> </w:t>
      </w:r>
      <w:r w:rsidRPr="007D2E78">
        <w:t>The time between the decision to use the urgent procedure and the final vote cannot be less than six days.</w:t>
      </w:r>
      <w:r>
        <w:t xml:space="preserve"> </w:t>
      </w:r>
      <w:r w:rsidRPr="00390650">
        <w:t>It can be invoked a maximum of six times per calendar semester.</w:t>
      </w:r>
    </w:p>
  </w:footnote>
  <w:footnote w:id="181">
    <w:p w14:paraId="3448021C" w14:textId="77777777" w:rsidR="00FC0AF3" w:rsidRPr="00974FA5" w:rsidRDefault="00FC0AF3" w:rsidP="00FC0AF3">
      <w:pPr>
        <w:pStyle w:val="FootnoteText"/>
      </w:pPr>
      <w:r>
        <w:rPr>
          <w:rStyle w:val="FootnoteReference"/>
        </w:rPr>
        <w:footnoteRef/>
      </w:r>
      <w:r>
        <w:t xml:space="preserve"> </w:t>
      </w:r>
      <w:r>
        <w:tab/>
        <w:t xml:space="preserve">The detailed debate occurs in a designated committee (the </w:t>
      </w:r>
      <w:r w:rsidRPr="00DB35E7">
        <w:t>Committee on Legislation</w:t>
      </w:r>
      <w:r>
        <w:t xml:space="preserve">) rather than in plenary. There is no general debate in the plenary session; the plenary only meets the proposal for the final debate and vote. </w:t>
      </w:r>
      <w:r w:rsidRPr="004246BF">
        <w:t>Unlike the urgent procedure, there is no minimum timeframe between the decision and the final vote, allowing for extremely rapid passage.</w:t>
      </w:r>
      <w:r>
        <w:t xml:space="preserve"> </w:t>
      </w:r>
      <w:r w:rsidRPr="004246BF">
        <w:t>It can be used only four times per calendar semester.</w:t>
      </w:r>
    </w:p>
  </w:footnote>
  <w:footnote w:id="182">
    <w:p w14:paraId="74CDE1D7" w14:textId="0CD3B08F" w:rsidR="00526588" w:rsidRPr="001966C9" w:rsidRDefault="00526588">
      <w:pPr>
        <w:pStyle w:val="FootnoteText"/>
        <w:rPr>
          <w:lang w:val="en-IE"/>
        </w:rPr>
      </w:pPr>
      <w:r>
        <w:rPr>
          <w:rStyle w:val="FootnoteReference"/>
        </w:rPr>
        <w:footnoteRef/>
      </w:r>
      <w:r>
        <w:tab/>
      </w:r>
      <w:r w:rsidR="00A05795" w:rsidRPr="00A05795">
        <w:t xml:space="preserve">Resolution </w:t>
      </w:r>
      <w:r w:rsidR="00990E99" w:rsidRPr="00844775">
        <w:t>35/2026 (VI. 23.) OGY</w:t>
      </w:r>
      <w:r w:rsidR="00A05795" w:rsidRPr="00A05795">
        <w:t xml:space="preserve"> of the National Assembly </w:t>
      </w:r>
      <w:r w:rsidR="008A68C3">
        <w:t>a</w:t>
      </w:r>
      <w:r w:rsidR="00A05795" w:rsidRPr="00A05795">
        <w:t>mend</w:t>
      </w:r>
      <w:r w:rsidR="008A68C3">
        <w:t>ing</w:t>
      </w:r>
      <w:r w:rsidR="00A05795" w:rsidRPr="00A05795">
        <w:t xml:space="preserve"> Resolution </w:t>
      </w:r>
      <w:r w:rsidR="0003197F" w:rsidRPr="00844775">
        <w:t>10/2014 (II. 24.) OGY</w:t>
      </w:r>
      <w:r w:rsidR="00A05795" w:rsidRPr="00A05795">
        <w:t xml:space="preserve"> on </w:t>
      </w:r>
      <w:r w:rsidR="00016981">
        <w:t>c</w:t>
      </w:r>
      <w:r w:rsidR="00A05795" w:rsidRPr="00A05795">
        <w:t xml:space="preserve">ertain </w:t>
      </w:r>
      <w:r w:rsidR="00016981">
        <w:t>p</w:t>
      </w:r>
      <w:r w:rsidR="00A05795" w:rsidRPr="00A05795">
        <w:t>rovisions of the Rules of Procedure</w:t>
      </w:r>
      <w:r w:rsidR="003A1BCF">
        <w:t xml:space="preserve">. </w:t>
      </w:r>
      <w:r w:rsidR="00C914C3" w:rsidRPr="00C914C3">
        <w:t>The maximum number of urgent procedures per semester was increased from six to 15, and the maximum number of exceptional procedures was increased from four to 10.</w:t>
      </w:r>
    </w:p>
  </w:footnote>
  <w:footnote w:id="183">
    <w:p w14:paraId="4985B47A" w14:textId="5B42F31E" w:rsidR="00FC0AF3" w:rsidRPr="00812CDC" w:rsidRDefault="00FC0AF3" w:rsidP="00FC0AF3">
      <w:pPr>
        <w:pStyle w:val="FootnoteText"/>
        <w:rPr>
          <w:lang w:val="en-IE"/>
        </w:rPr>
      </w:pPr>
      <w:r w:rsidRPr="00812CDC">
        <w:rPr>
          <w:rStyle w:val="FootnoteReference"/>
          <w:lang w:val="en-IE"/>
        </w:rPr>
        <w:footnoteRef/>
      </w:r>
      <w:r w:rsidRPr="00812CDC">
        <w:rPr>
          <w:lang w:val="en-IE"/>
        </w:rPr>
        <w:t xml:space="preserve"> </w:t>
      </w:r>
      <w:r w:rsidRPr="00812CDC">
        <w:rPr>
          <w:lang w:val="en-IE"/>
        </w:rPr>
        <w:tab/>
        <w:t xml:space="preserve">See 2020 Rule of Law Report, Hungary, p. 16. </w:t>
      </w:r>
      <w:r w:rsidR="004A78EC">
        <w:rPr>
          <w:lang w:val="en-IE"/>
        </w:rPr>
        <w:t>T</w:t>
      </w:r>
      <w:r w:rsidR="00195245">
        <w:rPr>
          <w:lang w:val="en-IE"/>
        </w:rPr>
        <w:t xml:space="preserve">he Seventeenth Amendment to the Fundamental Law </w:t>
      </w:r>
      <w:r w:rsidR="003F3BFF">
        <w:rPr>
          <w:lang w:val="en-IE"/>
        </w:rPr>
        <w:t>w</w:t>
      </w:r>
      <w:r w:rsidR="00F91183">
        <w:rPr>
          <w:lang w:val="en-IE"/>
        </w:rPr>
        <w:t>ould</w:t>
      </w:r>
      <w:r w:rsidR="003F3BFF">
        <w:rPr>
          <w:lang w:val="en-IE"/>
        </w:rPr>
        <w:t xml:space="preserve"> </w:t>
      </w:r>
      <w:r w:rsidR="00067710">
        <w:rPr>
          <w:lang w:val="en-IE"/>
        </w:rPr>
        <w:t>reduce</w:t>
      </w:r>
      <w:r w:rsidR="002A1147">
        <w:rPr>
          <w:lang w:val="en-IE"/>
        </w:rPr>
        <w:t xml:space="preserve"> the</w:t>
      </w:r>
      <w:r w:rsidR="00F052FE">
        <w:rPr>
          <w:lang w:val="en-IE"/>
        </w:rPr>
        <w:t xml:space="preserve"> number of </w:t>
      </w:r>
      <w:r w:rsidR="00067710">
        <w:rPr>
          <w:lang w:val="en-IE"/>
        </w:rPr>
        <w:t>issues to be</w:t>
      </w:r>
      <w:r w:rsidR="00124A6A">
        <w:rPr>
          <w:lang w:val="en-IE"/>
        </w:rPr>
        <w:t xml:space="preserve"> </w:t>
      </w:r>
      <w:r w:rsidR="000E04E3">
        <w:rPr>
          <w:lang w:val="en-IE"/>
        </w:rPr>
        <w:t xml:space="preserve">regulated through </w:t>
      </w:r>
      <w:r w:rsidR="008B42D9">
        <w:rPr>
          <w:lang w:val="en-IE"/>
        </w:rPr>
        <w:t>a cardinal law.</w:t>
      </w:r>
    </w:p>
  </w:footnote>
  <w:footnote w:id="184">
    <w:p w14:paraId="29699107" w14:textId="7774D16C" w:rsidR="00FC0AF3" w:rsidRPr="001966C9" w:rsidRDefault="00FC0AF3" w:rsidP="00FC0AF3">
      <w:pPr>
        <w:pStyle w:val="FootnoteText"/>
        <w:rPr>
          <w:lang w:val="en-IE"/>
        </w:rPr>
      </w:pPr>
      <w:r w:rsidRPr="00056F1D">
        <w:rPr>
          <w:rStyle w:val="FootnoteReference"/>
        </w:rPr>
        <w:footnoteRef/>
      </w:r>
      <w:r w:rsidRPr="001966C9">
        <w:rPr>
          <w:lang w:val="en-IE"/>
        </w:rPr>
        <w:t xml:space="preserve"> </w:t>
      </w:r>
      <w:r w:rsidRPr="001966C9">
        <w:rPr>
          <w:lang w:val="en-IE"/>
        </w:rPr>
        <w:tab/>
        <w:t xml:space="preserve">Figure 52, 2026 EU Justice Scoreboard. </w:t>
      </w:r>
    </w:p>
  </w:footnote>
  <w:footnote w:id="185">
    <w:p w14:paraId="51ED71D0" w14:textId="77777777" w:rsidR="00FC0AF3" w:rsidRPr="00056F1D" w:rsidRDefault="00FC0AF3" w:rsidP="00FC0AF3">
      <w:pPr>
        <w:pStyle w:val="FootnoteText"/>
      </w:pPr>
      <w:r w:rsidRPr="00056F1D">
        <w:rPr>
          <w:rStyle w:val="FootnoteReference"/>
        </w:rPr>
        <w:footnoteRef/>
      </w:r>
      <w:r w:rsidRPr="00E700C1">
        <w:rPr>
          <w:lang w:val="en-IE"/>
        </w:rPr>
        <w:t xml:space="preserve"> </w:t>
      </w:r>
      <w:r w:rsidRPr="00E700C1">
        <w:rPr>
          <w:lang w:val="en-IE"/>
        </w:rPr>
        <w:tab/>
        <w:t xml:space="preserve">Figure 53, 2026 EU Justice Scoreboard. </w:t>
      </w:r>
      <w:r>
        <w:t xml:space="preserve">22% </w:t>
      </w:r>
      <w:r w:rsidRPr="00056F1D">
        <w:t>of the surveyed investors perceive</w:t>
      </w:r>
      <w:r>
        <w:t xml:space="preserve"> </w:t>
      </w:r>
      <w:r w:rsidRPr="00E65DB6">
        <w:rPr>
          <w:rFonts w:eastAsia="Calibri"/>
        </w:rPr>
        <w:t>concerns about quality, efficiency or independence of justice</w:t>
      </w:r>
      <w:r>
        <w:rPr>
          <w:rFonts w:eastAsia="Calibri"/>
        </w:rPr>
        <w:t xml:space="preserve"> </w:t>
      </w:r>
      <w:r w:rsidRPr="00DA4734">
        <w:t>as a reason for the lack of confidence in investment protection</w:t>
      </w:r>
      <w:r w:rsidRPr="00056F1D">
        <w:t xml:space="preserve">. </w:t>
      </w:r>
    </w:p>
  </w:footnote>
  <w:footnote w:id="186">
    <w:p w14:paraId="1D342237" w14:textId="77777777" w:rsidR="00FC0AF3" w:rsidRPr="00056F1D" w:rsidRDefault="00FC0AF3" w:rsidP="00FC0AF3">
      <w:pPr>
        <w:pStyle w:val="FootnoteText"/>
      </w:pPr>
      <w:r w:rsidRPr="00056F1D">
        <w:rPr>
          <w:rStyle w:val="FootnoteReference"/>
        </w:rPr>
        <w:footnoteRef/>
      </w:r>
      <w:r w:rsidRPr="00056F1D">
        <w:t xml:space="preserve"> </w:t>
      </w:r>
      <w:r>
        <w:tab/>
      </w:r>
      <w:r w:rsidRPr="00056F1D">
        <w:t xml:space="preserve">Figure </w:t>
      </w:r>
      <w:r>
        <w:t>60</w:t>
      </w:r>
      <w:r w:rsidRPr="00056F1D">
        <w:t>, 202</w:t>
      </w:r>
      <w:r>
        <w:t>6</w:t>
      </w:r>
      <w:r w:rsidRPr="00056F1D">
        <w:t xml:space="preserve"> EU Justice Scoreboard.</w:t>
      </w:r>
      <w:r>
        <w:t xml:space="preserve"> </w:t>
      </w:r>
    </w:p>
  </w:footnote>
  <w:footnote w:id="187">
    <w:p w14:paraId="74114FCD" w14:textId="77777777" w:rsidR="00FC0AF3" w:rsidRPr="00866ABA" w:rsidRDefault="00FC0AF3" w:rsidP="00FC0AF3">
      <w:pPr>
        <w:pStyle w:val="FootnoteText"/>
        <w:rPr>
          <w:lang w:val="en-US"/>
        </w:rPr>
      </w:pPr>
      <w:r>
        <w:rPr>
          <w:rStyle w:val="FootnoteReference"/>
        </w:rPr>
        <w:footnoteRef/>
      </w:r>
      <w:r>
        <w:t xml:space="preserve"> </w:t>
      </w:r>
      <w:r w:rsidRPr="00866ABA">
        <w:rPr>
          <w:lang w:val="en-US"/>
        </w:rPr>
        <w:tab/>
      </w:r>
      <w:r w:rsidRPr="00866ABA">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88">
    <w:p w14:paraId="54406D2E" w14:textId="77777777" w:rsidR="00FC0AF3" w:rsidRPr="001966C9" w:rsidRDefault="00FC0AF3" w:rsidP="00FC0AF3">
      <w:pPr>
        <w:pStyle w:val="FootnoteText"/>
        <w:rPr>
          <w:lang w:val="de-DE"/>
        </w:rPr>
      </w:pPr>
      <w:r>
        <w:rPr>
          <w:rStyle w:val="FootnoteReference"/>
        </w:rPr>
        <w:footnoteRef/>
      </w:r>
      <w:r w:rsidRPr="001966C9">
        <w:rPr>
          <w:lang w:val="de-DE"/>
        </w:rPr>
        <w:t xml:space="preserve"> </w:t>
      </w:r>
      <w:r w:rsidRPr="001966C9">
        <w:rPr>
          <w:lang w:val="de-DE"/>
        </w:rPr>
        <w:tab/>
        <w:t>Ost-Ausschuss der Deutschen Wirtschaft – German Eastern Business Association (2026), pp. 21-22; WKÖ – Austrian Federal Economic Chamber (2026), pp. 21-22.</w:t>
      </w:r>
    </w:p>
  </w:footnote>
  <w:footnote w:id="189">
    <w:p w14:paraId="4D5D2A65" w14:textId="77777777" w:rsidR="00FC0AF3" w:rsidRPr="006536D8" w:rsidRDefault="00FC0AF3" w:rsidP="00FC0AF3">
      <w:pPr>
        <w:pStyle w:val="FootnoteText"/>
      </w:pPr>
      <w:r w:rsidRPr="006536D8">
        <w:rPr>
          <w:rStyle w:val="FootnoteReference"/>
        </w:rPr>
        <w:footnoteRef/>
      </w:r>
      <w:r w:rsidRPr="006536D8">
        <w:t xml:space="preserve"> </w:t>
      </w:r>
      <w:r w:rsidRPr="006536D8">
        <w:tab/>
        <w:t xml:space="preserve">INFR(2024)4022. Due to the current design of the retail tax regime, foreign controlled retail companies operating in Hungary as integrated companies or linked undertakings, are subject to high and steeply progressive tax rates on their turnover. Domestic retailers operating on the Hungarian market under their respective brands and logos via franchise systems are not subject to the same highest rates because their turnover is not consolidated for taxation purposes. </w:t>
      </w:r>
    </w:p>
  </w:footnote>
  <w:footnote w:id="190">
    <w:p w14:paraId="0A3048A6" w14:textId="02721D3E" w:rsidR="00FC0AF3" w:rsidRPr="001966C9" w:rsidRDefault="00FC0AF3" w:rsidP="00FC0AF3">
      <w:pPr>
        <w:pStyle w:val="FootnoteText"/>
        <w:rPr>
          <w:lang w:val="en-IE"/>
        </w:rPr>
      </w:pPr>
      <w:r w:rsidRPr="006536D8">
        <w:rPr>
          <w:rStyle w:val="FootnoteReference"/>
        </w:rPr>
        <w:footnoteRef/>
      </w:r>
      <w:r w:rsidR="00D20EFE">
        <w:tab/>
      </w:r>
      <w:r w:rsidR="6BE969EB" w:rsidRPr="006536D8">
        <w:t xml:space="preserve">First, the </w:t>
      </w:r>
      <w:r w:rsidR="007D31CA">
        <w:t>CJEU</w:t>
      </w:r>
      <w:r w:rsidR="6BE969EB" w:rsidRPr="006536D8">
        <w:t xml:space="preserve"> ruled that the price cap measure introduced by the Hungarian </w:t>
      </w:r>
      <w:r w:rsidR="643E1CAE" w:rsidRPr="006536D8">
        <w:t xml:space="preserve">authorities in </w:t>
      </w:r>
      <w:r w:rsidR="3F33FCEF">
        <w:t>2022 violates EU law (</w:t>
      </w:r>
      <w:r w:rsidR="6E9D2CF2">
        <w:t>judgment</w:t>
      </w:r>
      <w:r w:rsidR="3F33FCEF">
        <w:t xml:space="preserve"> of 12 September 2024, </w:t>
      </w:r>
      <w:r w:rsidR="3F33FCEF" w:rsidRPr="001966C9">
        <w:rPr>
          <w:i/>
        </w:rPr>
        <w:t>SPAR Magyarország</w:t>
      </w:r>
      <w:r w:rsidR="3F33FCEF">
        <w:t>, C-557/23</w:t>
      </w:r>
      <w:r w:rsidR="3683C4F8">
        <w:t xml:space="preserve">). </w:t>
      </w:r>
      <w:r w:rsidR="00CC248D">
        <w:t>Then</w:t>
      </w:r>
      <w:r w:rsidR="3683C4F8">
        <w:t xml:space="preserve">, the </w:t>
      </w:r>
      <w:r w:rsidR="001037DA">
        <w:t>CJEU</w:t>
      </w:r>
      <w:r w:rsidR="3683C4F8">
        <w:t xml:space="preserve"> </w:t>
      </w:r>
      <w:r w:rsidR="773622F7">
        <w:t xml:space="preserve">found that </w:t>
      </w:r>
      <w:r w:rsidR="7CE9FA94">
        <w:t xml:space="preserve">the mandatory </w:t>
      </w:r>
      <w:r w:rsidR="3CAEA897">
        <w:t>promotion</w:t>
      </w:r>
      <w:r w:rsidR="417AECA0">
        <w:t xml:space="preserve"> </w:t>
      </w:r>
      <w:r w:rsidR="4FEB3474">
        <w:t xml:space="preserve">scheme </w:t>
      </w:r>
      <w:r w:rsidR="324CBD7B">
        <w:t xml:space="preserve">introduced in 2023 </w:t>
      </w:r>
      <w:r w:rsidR="06A20EA0">
        <w:t xml:space="preserve">in the food retail </w:t>
      </w:r>
      <w:r w:rsidR="411F5519">
        <w:t xml:space="preserve">sector is </w:t>
      </w:r>
      <w:r w:rsidR="4BDB8862">
        <w:t xml:space="preserve">in breach of EU </w:t>
      </w:r>
      <w:r w:rsidR="324CBD7B">
        <w:t>agricultural</w:t>
      </w:r>
      <w:r w:rsidR="51961A9C">
        <w:t xml:space="preserve"> and internal market</w:t>
      </w:r>
      <w:r w:rsidR="5722D4B0">
        <w:t xml:space="preserve"> </w:t>
      </w:r>
      <w:r w:rsidR="324CBD7B">
        <w:t xml:space="preserve">rules </w:t>
      </w:r>
      <w:r w:rsidR="5722D4B0">
        <w:t>(</w:t>
      </w:r>
      <w:r w:rsidR="379C9CC9">
        <w:t>judgment</w:t>
      </w:r>
      <w:r w:rsidR="7AF32778">
        <w:t xml:space="preserve"> of </w:t>
      </w:r>
      <w:r w:rsidR="6D51CCE8">
        <w:t xml:space="preserve">18 June </w:t>
      </w:r>
      <w:r w:rsidR="2BA27DB1">
        <w:t>2026,</w:t>
      </w:r>
      <w:r w:rsidR="45B91FF0">
        <w:t xml:space="preserve"> </w:t>
      </w:r>
      <w:r w:rsidR="45B91FF0" w:rsidRPr="001966C9">
        <w:rPr>
          <w:i/>
        </w:rPr>
        <w:t xml:space="preserve">Penny </w:t>
      </w:r>
      <w:r w:rsidR="51A102A2" w:rsidRPr="001966C9">
        <w:rPr>
          <w:i/>
        </w:rPr>
        <w:t>Market,</w:t>
      </w:r>
      <w:r w:rsidR="51A102A2">
        <w:t xml:space="preserve"> </w:t>
      </w:r>
      <w:r w:rsidR="0D64B1F4">
        <w:t>C-658</w:t>
      </w:r>
      <w:r w:rsidR="15780006">
        <w:t>/24</w:t>
      </w:r>
      <w:r w:rsidR="324CBD7B">
        <w:t xml:space="preserve">). </w:t>
      </w:r>
      <w:r w:rsidR="006B7120">
        <w:t>Most recently</w:t>
      </w:r>
      <w:r w:rsidR="324CBD7B">
        <w:t>,</w:t>
      </w:r>
      <w:r w:rsidR="002B2C24">
        <w:t xml:space="preserve"> </w:t>
      </w:r>
      <w:r w:rsidR="324CBD7B" w:rsidRPr="006536D8">
        <w:t>on</w:t>
      </w:r>
      <w:r w:rsidRPr="006536D8">
        <w:t xml:space="preserve"> </w:t>
      </w:r>
      <w:r w:rsidR="00443A22">
        <w:t>8</w:t>
      </w:r>
      <w:r w:rsidR="00443A22" w:rsidRPr="006536D8">
        <w:t xml:space="preserve"> </w:t>
      </w:r>
      <w:r w:rsidR="00443A22">
        <w:t>July</w:t>
      </w:r>
      <w:r w:rsidR="00443A22" w:rsidRPr="006536D8">
        <w:t xml:space="preserve"> </w:t>
      </w:r>
      <w:r w:rsidRPr="006536D8">
        <w:t>202</w:t>
      </w:r>
      <w:r w:rsidR="00443A22">
        <w:t>6</w:t>
      </w:r>
      <w:r w:rsidRPr="006536D8">
        <w:t xml:space="preserve">, the Commission decided to </w:t>
      </w:r>
      <w:r w:rsidR="0055099D">
        <w:t xml:space="preserve">refer </w:t>
      </w:r>
      <w:r w:rsidRPr="006536D8">
        <w:t xml:space="preserve">Hungary </w:t>
      </w:r>
      <w:r w:rsidR="0055099D">
        <w:t xml:space="preserve">to the CJEU in two infringement cases </w:t>
      </w:r>
      <w:r w:rsidRPr="006536D8">
        <w:t>concerning measures that impose price margin restrictions on all non-Hungarian businesses but only some Hungarian firms. One procedure (INFR(2025)2052) concerns restrictions with regard to the sale of certain food products by food retailers</w:t>
      </w:r>
      <w:r w:rsidR="324CBD7B" w:rsidRPr="006536D8">
        <w:t xml:space="preserve"> (</w:t>
      </w:r>
      <w:r w:rsidR="00AA6EE4">
        <w:t>see also joint cases</w:t>
      </w:r>
      <w:r w:rsidR="324CBD7B" w:rsidRPr="006536D8">
        <w:t xml:space="preserve"> C-840/25, </w:t>
      </w:r>
      <w:r w:rsidR="324CBD7B" w:rsidRPr="001966C9">
        <w:rPr>
          <w:i/>
        </w:rPr>
        <w:t>Penny Market II</w:t>
      </w:r>
      <w:r w:rsidR="324CBD7B" w:rsidRPr="006536D8">
        <w:t xml:space="preserve"> and C-10/26,</w:t>
      </w:r>
      <w:r w:rsidR="324CBD7B">
        <w:t xml:space="preserve"> </w:t>
      </w:r>
      <w:r w:rsidR="324CBD7B" w:rsidRPr="001966C9">
        <w:rPr>
          <w:i/>
        </w:rPr>
        <w:t>Lidl Magyarország</w:t>
      </w:r>
      <w:r w:rsidR="00AA6EE4" w:rsidRPr="001966C9">
        <w:rPr>
          <w:iCs/>
        </w:rPr>
        <w:t xml:space="preserve">, </w:t>
      </w:r>
      <w:r w:rsidR="00AA6EE4">
        <w:rPr>
          <w:iCs/>
        </w:rPr>
        <w:t>pending before the CJEU</w:t>
      </w:r>
      <w:r w:rsidR="324CBD7B">
        <w:t>)</w:t>
      </w:r>
      <w:r w:rsidR="324CBD7B" w:rsidRPr="006536D8">
        <w:t>.</w:t>
      </w:r>
      <w:r w:rsidRPr="006536D8">
        <w:t xml:space="preserve"> The other procedure (INFR(2025)2102) covers similar restrictions for the sale of certain non-food products by drugstores. </w:t>
      </w:r>
    </w:p>
  </w:footnote>
  <w:footnote w:id="191">
    <w:p w14:paraId="795FC79E" w14:textId="409EEE83" w:rsidR="00FC0AF3" w:rsidRPr="006536D8" w:rsidRDefault="00FC0AF3" w:rsidP="00FC0AF3">
      <w:pPr>
        <w:pStyle w:val="FootnoteText"/>
      </w:pPr>
      <w:r w:rsidRPr="006536D8">
        <w:rPr>
          <w:rStyle w:val="FootnoteReference"/>
        </w:rPr>
        <w:footnoteRef/>
      </w:r>
      <w:r w:rsidRPr="006536D8">
        <w:t xml:space="preserve"> </w:t>
      </w:r>
      <w:r w:rsidRPr="006536D8">
        <w:tab/>
        <w:t xml:space="preserve">Under the long-standing ‘Plaza Stop’ regime, permits are required for the construction, renovation, leasing or acquisition of retail spaces measuring over 400 square metres. In practice, permits for multinational retailers are routinely denied without transparent reasoning. A tightening of the regulations in 2025 invalidated existing permits upon ownership or tenancy changes, effectively blocking all expansion. Further limitations introduced by Government Decree 280/2024 of 30 September 2024 restrict the maximum size of stores </w:t>
      </w:r>
      <w:r w:rsidR="00646DBC">
        <w:t xml:space="preserve">in residential areas </w:t>
      </w:r>
      <w:r w:rsidRPr="006536D8">
        <w:t>to between 400 and 800 square metres.</w:t>
      </w:r>
    </w:p>
  </w:footnote>
  <w:footnote w:id="192">
    <w:p w14:paraId="6A79E4E4" w14:textId="77777777" w:rsidR="00FC0AF3" w:rsidRPr="006536D8" w:rsidRDefault="00FC0AF3" w:rsidP="00FC0AF3">
      <w:pPr>
        <w:pStyle w:val="FootnoteText"/>
      </w:pPr>
      <w:r w:rsidRPr="006536D8">
        <w:rPr>
          <w:rStyle w:val="FootnoteReference"/>
        </w:rPr>
        <w:footnoteRef/>
      </w:r>
      <w:r w:rsidRPr="006536D8">
        <w:t xml:space="preserve"> </w:t>
      </w:r>
      <w:r w:rsidRPr="006536D8">
        <w:tab/>
        <w:t xml:space="preserve">On 13 November 2025, the </w:t>
      </w:r>
      <w:r>
        <w:t>CJEU</w:t>
      </w:r>
      <w:r w:rsidRPr="006536D8">
        <w:t xml:space="preserve"> found that the procedure established by Hungary for exports of raw materials and construction materials is contrary to EU law (case C-499/23, </w:t>
      </w:r>
      <w:r w:rsidRPr="006536D8">
        <w:rPr>
          <w:i/>
          <w:iCs/>
        </w:rPr>
        <w:t>Commission v Hungary (Construction materials for critical infrastructure)</w:t>
      </w:r>
      <w:r w:rsidRPr="006536D8">
        <w:t xml:space="preserve">). </w:t>
      </w:r>
      <w:r>
        <w:t>On 11 March 2026, t</w:t>
      </w:r>
      <w:r w:rsidRPr="006F3BFB">
        <w:t xml:space="preserve">he Commission decided to further pursue an infringement procedure by sending a letter of formal notice to Hungary (INFR(2021)2158) under Article 260 </w:t>
      </w:r>
      <w:r>
        <w:t>TFEU</w:t>
      </w:r>
      <w:r w:rsidRPr="006F3BFB">
        <w:t xml:space="preserve"> for not complying with </w:t>
      </w:r>
      <w:r>
        <w:t xml:space="preserve">the </w:t>
      </w:r>
      <w:r w:rsidRPr="006F3BFB">
        <w:t xml:space="preserve">judgment in case C-499/23. </w:t>
      </w:r>
    </w:p>
  </w:footnote>
  <w:footnote w:id="193">
    <w:p w14:paraId="614EFFA1" w14:textId="34DD3CAF" w:rsidR="00FC0AF3" w:rsidRPr="006536D8" w:rsidRDefault="00FC0AF3" w:rsidP="00FC0AF3">
      <w:pPr>
        <w:pStyle w:val="FootnoteText"/>
      </w:pPr>
      <w:r w:rsidRPr="006536D8">
        <w:rPr>
          <w:rStyle w:val="FootnoteReference"/>
        </w:rPr>
        <w:footnoteRef/>
      </w:r>
      <w:r w:rsidRPr="006536D8">
        <w:t xml:space="preserve"> </w:t>
      </w:r>
      <w:r w:rsidRPr="006536D8">
        <w:tab/>
        <w:t xml:space="preserve">On 22 January 2026, the </w:t>
      </w:r>
      <w:r>
        <w:t>CJEU</w:t>
      </w:r>
      <w:r w:rsidRPr="006536D8">
        <w:t xml:space="preserve"> ruled that the additional mining fee introduced by Hungary infringes EU law (judgment of the CJEU, case C-144/24, </w:t>
      </w:r>
      <w:r w:rsidRPr="006536D8">
        <w:rPr>
          <w:i/>
          <w:iCs/>
        </w:rPr>
        <w:t>Commission v Hungary (Additional mining fee)</w:t>
      </w:r>
      <w:r w:rsidRPr="006536D8">
        <w:t xml:space="preserve">). </w:t>
      </w:r>
      <w:r>
        <w:t xml:space="preserve">Under the new Government, the authorities decided not to collect the </w:t>
      </w:r>
      <w:r w:rsidRPr="005A0F6C">
        <w:t>supplementary mining royalties</w:t>
      </w:r>
      <w:r>
        <w:t xml:space="preserve"> from 1 June 2026.</w:t>
      </w:r>
      <w:r w:rsidR="008C39E0">
        <w:t xml:space="preserve"> </w:t>
      </w:r>
      <w:r w:rsidR="008C39E0" w:rsidRPr="008C39E0">
        <w:t>On 8 July 2026, the Commission called on Hungary to comply with the judgment.</w:t>
      </w:r>
    </w:p>
  </w:footnote>
  <w:footnote w:id="194">
    <w:p w14:paraId="2EB1A68B" w14:textId="77777777" w:rsidR="00FC0AF3" w:rsidRPr="00414BEE" w:rsidRDefault="00FC0AF3" w:rsidP="00FC0AF3">
      <w:pPr>
        <w:pStyle w:val="FootnoteText"/>
        <w:rPr>
          <w:lang w:val="en-IE"/>
        </w:rPr>
      </w:pPr>
      <w:r w:rsidRPr="006536D8">
        <w:rPr>
          <w:rStyle w:val="FootnoteReference"/>
        </w:rPr>
        <w:footnoteRef/>
      </w:r>
      <w:r w:rsidRPr="006536D8">
        <w:t xml:space="preserve"> </w:t>
      </w:r>
      <w:r w:rsidRPr="006536D8">
        <w:tab/>
        <w:t>On 18 June 2025, the Commission open</w:t>
      </w:r>
      <w:r>
        <w:t>ed</w:t>
      </w:r>
      <w:r w:rsidRPr="006536D8">
        <w:t xml:space="preserve"> an infringement procedure (INFR(2025)4016) for applying a carbon quota tax and a transaction fee to recipients of a significant free allocation of allowances under the EU Emissions Trading System, as those charges interfere with EU law. On </w:t>
      </w:r>
      <w:r>
        <w:t>16</w:t>
      </w:r>
      <w:r w:rsidRPr="006536D8">
        <w:t xml:space="preserve"> </w:t>
      </w:r>
      <w:r>
        <w:t>April</w:t>
      </w:r>
      <w:r w:rsidRPr="006536D8">
        <w:t xml:space="preserve"> 202</w:t>
      </w:r>
      <w:r>
        <w:t>6</w:t>
      </w:r>
      <w:r w:rsidRPr="006536D8">
        <w:t>, in a preliminary reference</w:t>
      </w:r>
      <w:r>
        <w:t xml:space="preserve"> case</w:t>
      </w:r>
      <w:r w:rsidRPr="006536D8">
        <w:t xml:space="preserve">, the </w:t>
      </w:r>
      <w:r>
        <w:t>CJEU</w:t>
      </w:r>
      <w:r w:rsidRPr="006536D8">
        <w:t xml:space="preserve"> </w:t>
      </w:r>
      <w:r>
        <w:t xml:space="preserve">found that </w:t>
      </w:r>
      <w:r w:rsidRPr="006536D8">
        <w:t xml:space="preserve">the national </w:t>
      </w:r>
      <w:r>
        <w:t>c</w:t>
      </w:r>
      <w:r w:rsidRPr="006536D8">
        <w:t xml:space="preserve">arbon quota tax under Government Decree 320/2023 of 17 July 2023 </w:t>
      </w:r>
      <w:r>
        <w:t>w</w:t>
      </w:r>
      <w:r w:rsidRPr="006536D8">
        <w:t>as incompatible with EU law (</w:t>
      </w:r>
      <w:r>
        <w:t>judgment of the CJEU,</w:t>
      </w:r>
      <w:r w:rsidRPr="006536D8">
        <w:t xml:space="preserve"> case C‑519/24, </w:t>
      </w:r>
      <w:r w:rsidRPr="006536D8">
        <w:rPr>
          <w:i/>
          <w:iCs/>
        </w:rPr>
        <w:t>Nitrogénművek</w:t>
      </w:r>
      <w:r w:rsidRPr="006536D8">
        <w:t>)</w:t>
      </w:r>
      <w:r w:rsidRPr="00E94C4A">
        <w:rPr>
          <w:lang w:val="en-IE"/>
        </w:rPr>
        <w:t xml:space="preserve">. </w:t>
      </w:r>
    </w:p>
  </w:footnote>
  <w:footnote w:id="195">
    <w:p w14:paraId="704F0147" w14:textId="77777777" w:rsidR="00FC0AF3" w:rsidRPr="006536D8" w:rsidRDefault="00FC0AF3" w:rsidP="00FC0AF3">
      <w:pPr>
        <w:pStyle w:val="FootnoteText"/>
      </w:pPr>
      <w:r w:rsidRPr="006536D8">
        <w:rPr>
          <w:rStyle w:val="FootnoteReference"/>
        </w:rPr>
        <w:footnoteRef/>
      </w:r>
      <w:r w:rsidRPr="006536D8">
        <w:t xml:space="preserve"> </w:t>
      </w:r>
      <w:r w:rsidRPr="006536D8">
        <w:tab/>
        <w:t>See Sections 92-95, 119-122 and 243-245 of Act L of 2025.</w:t>
      </w:r>
    </w:p>
  </w:footnote>
  <w:footnote w:id="196">
    <w:p w14:paraId="21F0F861" w14:textId="77777777" w:rsidR="00FC0AF3" w:rsidRPr="00F734EC" w:rsidRDefault="00FC0AF3" w:rsidP="00FC0AF3">
      <w:pPr>
        <w:spacing w:after="0"/>
        <w:ind w:left="284" w:hanging="284"/>
        <w:rPr>
          <w:lang w:val="en-IE" w:eastAsia="fr-FR"/>
        </w:rPr>
      </w:pPr>
      <w:r w:rsidRPr="00F734EC">
        <w:rPr>
          <w:rStyle w:val="FootnoteReference"/>
          <w:sz w:val="20"/>
          <w:lang w:val="en-IE"/>
        </w:rPr>
        <w:footnoteRef/>
      </w:r>
      <w:r w:rsidRPr="00F734EC">
        <w:rPr>
          <w:lang w:val="en-IE"/>
        </w:rPr>
        <w:t xml:space="preserve"> </w:t>
      </w:r>
      <w:r w:rsidRPr="00F734EC">
        <w:rPr>
          <w:lang w:val="en-IE"/>
        </w:rPr>
        <w:tab/>
      </w:r>
      <w:r w:rsidRPr="00F734EC">
        <w:rPr>
          <w:sz w:val="20"/>
          <w:lang w:val="en-IE"/>
        </w:rPr>
        <w:t xml:space="preserve">See infringement procedure INFR(2025)2051. </w:t>
      </w:r>
    </w:p>
  </w:footnote>
  <w:footnote w:id="197">
    <w:p w14:paraId="3475772F" w14:textId="355F8F03" w:rsidR="00FC0AF3" w:rsidRPr="004C65A6" w:rsidRDefault="00FC0AF3" w:rsidP="00FC0AF3">
      <w:pPr>
        <w:pStyle w:val="FootnoteText"/>
        <w:rPr>
          <w:lang w:val="hu-HU"/>
        </w:rPr>
      </w:pPr>
      <w:r>
        <w:rPr>
          <w:rStyle w:val="FootnoteReference"/>
        </w:rPr>
        <w:footnoteRef/>
      </w:r>
      <w:r w:rsidRPr="00DC58E6">
        <w:t xml:space="preserve"> </w:t>
      </w:r>
      <w:r>
        <w:tab/>
      </w:r>
      <w:r w:rsidRPr="00D542BD">
        <w:t xml:space="preserve">In particular, the </w:t>
      </w:r>
      <w:r>
        <w:t>Competition Authority</w:t>
      </w:r>
      <w:r w:rsidRPr="00D542BD">
        <w:t xml:space="preserve"> can oblige shareholders to divest their shares partly or fully </w:t>
      </w:r>
      <w:r>
        <w:t>(</w:t>
      </w:r>
      <w:r w:rsidRPr="0002292E">
        <w:t xml:space="preserve">Act XCVIII of 2025 amending </w:t>
      </w:r>
      <w:r w:rsidR="001372DD" w:rsidRPr="001372DD">
        <w:t>the Competition Act</w:t>
      </w:r>
      <w:r>
        <w:t>,</w:t>
      </w:r>
      <w:r w:rsidRPr="0002292E">
        <w:t xml:space="preserve"> see in particular Section 43/F). See also HVG.hu (2025b). </w:t>
      </w:r>
      <w:r>
        <w:t xml:space="preserve"> </w:t>
      </w:r>
    </w:p>
  </w:footnote>
  <w:footnote w:id="198">
    <w:p w14:paraId="196A06AA" w14:textId="77777777" w:rsidR="00FC0AF3" w:rsidRPr="006536D8" w:rsidRDefault="00FC0AF3" w:rsidP="00FC0AF3">
      <w:pPr>
        <w:pStyle w:val="FootnoteText"/>
      </w:pPr>
      <w:r w:rsidRPr="006536D8">
        <w:rPr>
          <w:rStyle w:val="FootnoteReference"/>
        </w:rPr>
        <w:footnoteRef/>
      </w:r>
      <w:r w:rsidRPr="006536D8">
        <w:t xml:space="preserve"> </w:t>
      </w:r>
      <w:r w:rsidRPr="006536D8">
        <w:tab/>
        <w:t>2025 Rule of Law Report, Hungary, p. 26. The Government can still declare certain mergers and acquisitions to be of ‘strategic importance for the national economy’. Such transactions do not need to be notified to the Competition Authority</w:t>
      </w:r>
      <w:r>
        <w:t>,</w:t>
      </w:r>
      <w:r w:rsidRPr="006536D8">
        <w:t xml:space="preserve"> which consequently cannot perform its control function. Such Government decrees are not subject to judicial review and increase legal uncertainty for both domestic and foreign companies. This practice has enabled the implementation of a nationalisation strategy in key sectors, such as energy, media and telecommunication.</w:t>
      </w:r>
    </w:p>
  </w:footnote>
  <w:footnote w:id="199">
    <w:p w14:paraId="138E7144" w14:textId="77777777" w:rsidR="00FC0AF3" w:rsidRPr="006536D8" w:rsidRDefault="00FC0AF3" w:rsidP="00FC0AF3">
      <w:pPr>
        <w:pStyle w:val="FootnoteText"/>
      </w:pPr>
      <w:r w:rsidRPr="00C81A34">
        <w:rPr>
          <w:rStyle w:val="FootnoteReference"/>
        </w:rPr>
        <w:footnoteRef/>
      </w:r>
      <w:r w:rsidRPr="00C81A34">
        <w:t xml:space="preserve"> </w:t>
      </w:r>
      <w:r w:rsidRPr="00C81A34">
        <w:tab/>
        <w:t xml:space="preserve">2025 Rule of Law 2025, Hungary, p. 26. According to stakeholders (Amnesty International Hungary et al. (2026), p. 55; K-Monitor (2026), p. 28; Transparency International Hungary (2026), p. 24), more recent examples include the cartel investigations opened into companies owned by an entrepreneur who has publicly criticized the governing party (see also HVG.hu (2025a)) and by a businessman who divorced the daughter of a tycoon close to the </w:t>
      </w:r>
      <w:r>
        <w:t xml:space="preserve">former </w:t>
      </w:r>
      <w:r w:rsidRPr="00C81A34">
        <w:t>Prime Minister (see also 24.hu (2025</w:t>
      </w:r>
      <w:r>
        <w:t>a</w:t>
      </w:r>
      <w:r w:rsidRPr="00C81A34">
        <w:t>)).</w:t>
      </w:r>
    </w:p>
  </w:footnote>
  <w:footnote w:id="200">
    <w:p w14:paraId="50BDFB68" w14:textId="77777777" w:rsidR="00FF2A75" w:rsidRPr="006536D8" w:rsidRDefault="00FF2A75" w:rsidP="00FF2A75">
      <w:pPr>
        <w:pStyle w:val="FootnoteText"/>
      </w:pPr>
      <w:r w:rsidRPr="006536D8">
        <w:rPr>
          <w:rStyle w:val="FootnoteReference"/>
        </w:rPr>
        <w:footnoteRef/>
      </w:r>
      <w:r w:rsidRPr="006536D8">
        <w:t xml:space="preserve"> </w:t>
      </w:r>
      <w:r w:rsidRPr="006536D8">
        <w:tab/>
        <w:t>The Commissioner for Fundamental Rights continues to be downgraded by the Global Alliance of National Human Rights Institutions (GANHRI) from ‘A’ to ‘B’ status due to its inactivity in a number of areas (e.g. the rights of ethnic minorities, LGBTI</w:t>
      </w:r>
      <w:r>
        <w:t>+</w:t>
      </w:r>
      <w:r w:rsidRPr="006536D8">
        <w:t xml:space="preserve"> persons, human rights defenders, refugees and migrants, media pluralism, civic space and judicial independence), which has evidenced a lack of independence and compromised compliance with the Paris Principles. GANHRI also deemed the Commissioner's selection and appointment process to be insufficiently broad and transparent</w:t>
      </w:r>
      <w:r>
        <w:t xml:space="preserve"> (see 2024 Rule of Law Report, Hungary, p. 33)</w:t>
      </w:r>
      <w:r w:rsidRPr="006536D8">
        <w:t>.</w:t>
      </w:r>
      <w:r>
        <w:t xml:space="preserve"> </w:t>
      </w:r>
      <w:r w:rsidRPr="007017FE">
        <w:t>The downgrade was decided in a reaccreditation procedure reviewing the 2014–2019 period and predates the mandate of the incumbent Commissioner, elected in September 2025 by a two-thirds parliamentary majority</w:t>
      </w:r>
      <w:r>
        <w:t>;</w:t>
      </w:r>
      <w:r w:rsidRPr="007017FE">
        <w:t xml:space="preserve"> </w:t>
      </w:r>
      <w:r>
        <w:t>t</w:t>
      </w:r>
      <w:r w:rsidRPr="007017FE">
        <w:t xml:space="preserve">he Office </w:t>
      </w:r>
      <w:r>
        <w:t xml:space="preserve">of the </w:t>
      </w:r>
      <w:r w:rsidRPr="007017FE">
        <w:t>Commissioner has formally challenged the downgrade</w:t>
      </w:r>
      <w:r>
        <w:t xml:space="preserve"> (further input from the new Government)</w:t>
      </w:r>
      <w:r w:rsidRPr="002F3045">
        <w:t>.</w:t>
      </w:r>
    </w:p>
  </w:footnote>
  <w:footnote w:id="201">
    <w:p w14:paraId="2362AB0F" w14:textId="6ED87E61" w:rsidR="00FF2A75" w:rsidRPr="006536D8" w:rsidRDefault="00FF2A75" w:rsidP="00FF2A75">
      <w:pPr>
        <w:pStyle w:val="FootnoteText"/>
      </w:pPr>
      <w:r w:rsidRPr="006536D8">
        <w:rPr>
          <w:rStyle w:val="FootnoteReference"/>
        </w:rPr>
        <w:footnoteRef/>
      </w:r>
      <w:r w:rsidRPr="006536D8">
        <w:t xml:space="preserve"> </w:t>
      </w:r>
      <w:r w:rsidRPr="006536D8">
        <w:tab/>
        <w:t>Qubit (2025). The work of the deputy commissioner was considered vital public documentation of the situation of vulnerable groups, including hate crimes and hate speech.</w:t>
      </w:r>
      <w:r>
        <w:t xml:space="preserve"> According to the office of the new commissioner, the documents concerned were published on 4 November 2025, after the expiry of the former Deputy Commissioner’s mandate, and did not meet the statutory requirements of Act CXI of 2011, under which only the Commissioner is entitled to issue reports on inquiries, while Deputy Commissioners may issue policy statements within their field of competence following professional consultation with the Commissioner.</w:t>
      </w:r>
      <w:r w:rsidR="008176EF">
        <w:t xml:space="preserve"> </w:t>
      </w:r>
      <w:r w:rsidR="008176EF" w:rsidRPr="008176EF">
        <w:t>Nevertheless, all policy statements and documents lawfully issued by the former Deputy Commissioner during her mandate remain accessible in the Office’s archives.</w:t>
      </w:r>
      <w:r>
        <w:t xml:space="preserve"> </w:t>
      </w:r>
    </w:p>
  </w:footnote>
  <w:footnote w:id="202">
    <w:p w14:paraId="1B4935F8" w14:textId="77777777" w:rsidR="00FF2A75" w:rsidRPr="008A3DF7" w:rsidRDefault="00FF2A75" w:rsidP="00FF2A75">
      <w:pPr>
        <w:pStyle w:val="FootnoteText"/>
        <w:rPr>
          <w:lang w:val="en-IE"/>
        </w:rPr>
      </w:pPr>
      <w:r>
        <w:rPr>
          <w:rStyle w:val="FootnoteReference"/>
        </w:rPr>
        <w:footnoteRef/>
      </w:r>
      <w:r>
        <w:tab/>
        <w:t xml:space="preserve">Case </w:t>
      </w:r>
      <w:r w:rsidRPr="00F335E2">
        <w:t>X/00538/2026</w:t>
      </w:r>
      <w:r>
        <w:t>, pending.</w:t>
      </w:r>
    </w:p>
  </w:footnote>
  <w:footnote w:id="203">
    <w:p w14:paraId="62A82490" w14:textId="77777777" w:rsidR="00FF2A75" w:rsidRPr="006536D8" w:rsidRDefault="00FF2A75" w:rsidP="00FF2A75">
      <w:pPr>
        <w:pStyle w:val="FootnoteText"/>
      </w:pPr>
      <w:r w:rsidRPr="006536D8">
        <w:rPr>
          <w:rStyle w:val="FootnoteReference"/>
        </w:rPr>
        <w:footnoteRef/>
      </w:r>
      <w:r w:rsidRPr="006536D8">
        <w:t xml:space="preserve"> </w:t>
      </w:r>
      <w:r w:rsidRPr="006536D8">
        <w:tab/>
      </w:r>
      <w:r>
        <w:t xml:space="preserve">E.g. the Constitutional Court annulled a </w:t>
      </w:r>
      <w:r w:rsidRPr="009E71C3">
        <w:rPr>
          <w:i/>
        </w:rPr>
        <w:t>Kúria</w:t>
      </w:r>
      <w:r>
        <w:t xml:space="preserve"> decision that allowed a referendum on the verification of asset declarations (Decision </w:t>
      </w:r>
      <w:r w:rsidRPr="00F503A7">
        <w:t>7/2025. (VII. 24.) AB</w:t>
      </w:r>
      <w:r>
        <w:t>). It</w:t>
      </w:r>
      <w:r w:rsidRPr="00EE36F7">
        <w:t xml:space="preserve"> also annulled a </w:t>
      </w:r>
      <w:r w:rsidRPr="009E71C3">
        <w:rPr>
          <w:i/>
          <w:iCs/>
        </w:rPr>
        <w:t>Kúria</w:t>
      </w:r>
      <w:r w:rsidRPr="00EE36F7">
        <w:t xml:space="preserve"> decision </w:t>
      </w:r>
      <w:r>
        <w:t>finding</w:t>
      </w:r>
      <w:r w:rsidRPr="00EE36F7">
        <w:t xml:space="preserve"> the public broadcaster </w:t>
      </w:r>
      <w:r>
        <w:t>in</w:t>
      </w:r>
      <w:r w:rsidRPr="00EE36F7">
        <w:t xml:space="preserve"> breach </w:t>
      </w:r>
      <w:r>
        <w:t>of</w:t>
      </w:r>
      <w:r w:rsidRPr="00EE36F7">
        <w:t xml:space="preserve"> the requirement for balanced programming by predominantly covering the governing party</w:t>
      </w:r>
      <w:r>
        <w:t>’</w:t>
      </w:r>
      <w:r w:rsidRPr="00EE36F7">
        <w:t>s political campaign</w:t>
      </w:r>
      <w:r>
        <w:t xml:space="preserve"> (cases </w:t>
      </w:r>
      <w:r w:rsidRPr="009E71C3">
        <w:t>IV/825/2026</w:t>
      </w:r>
      <w:r>
        <w:t xml:space="preserve"> and </w:t>
      </w:r>
      <w:r w:rsidRPr="00F022CF">
        <w:t>IV/964/2026</w:t>
      </w:r>
      <w:r>
        <w:t>)</w:t>
      </w:r>
      <w:r w:rsidRPr="00EE36F7">
        <w:t>.</w:t>
      </w:r>
      <w:r>
        <w:t xml:space="preserve"> According to the new Government, t</w:t>
      </w:r>
      <w:r w:rsidRPr="00777668">
        <w:t>he constitutional complaint against final judicial decisions is a general individual remedy available to any party in any individual case who alleges the violation of a right guaranteed by the Fundamental Law</w:t>
      </w:r>
      <w:r>
        <w:t>.</w:t>
      </w:r>
    </w:p>
  </w:footnote>
  <w:footnote w:id="204">
    <w:p w14:paraId="678F8E5D" w14:textId="77777777" w:rsidR="00FF2A75" w:rsidRPr="007713E1" w:rsidRDefault="00FF2A75" w:rsidP="00FF2A75">
      <w:pPr>
        <w:pStyle w:val="FootnoteText"/>
      </w:pPr>
      <w:r w:rsidRPr="0077705D">
        <w:rPr>
          <w:rStyle w:val="FootnoteReference"/>
        </w:rPr>
        <w:footnoteRef/>
      </w:r>
      <w:r w:rsidRPr="0077705D">
        <w:t xml:space="preserve"> </w:t>
      </w:r>
      <w:r w:rsidRPr="0077705D">
        <w:tab/>
        <w:t xml:space="preserve">See 2025 Rule of Law Report, p. 26. There is no deadline for the final decision to be taken in a constitutional complaint procedure. </w:t>
      </w:r>
      <w:r w:rsidRPr="001D2DB4">
        <w:t xml:space="preserve">Under Section 53(1) of the Internal Rules of Procedure, the </w:t>
      </w:r>
      <w:r>
        <w:t xml:space="preserve">Constitutional </w:t>
      </w:r>
      <w:r w:rsidRPr="001D2DB4">
        <w:t>Court must decide on the admissibility of a constitutional complaint within 120 days of the Secretary General’s notification of the initiation of proceedings, and under Section 53(2)</w:t>
      </w:r>
      <w:r>
        <w:t>,</w:t>
      </w:r>
      <w:r w:rsidRPr="001D2DB4">
        <w:t xml:space="preserve"> the rapporteur judge must submit the first draft within 180 days of admission. The average time taken to resolve constitutional complaints was 290 days in 2025 and 287 days in the first quarter of 2026.</w:t>
      </w:r>
    </w:p>
  </w:footnote>
  <w:footnote w:id="205">
    <w:p w14:paraId="09556EC3" w14:textId="77777777" w:rsidR="00FF2A75" w:rsidRPr="00FE76E0" w:rsidRDefault="00FF2A75" w:rsidP="00FF2A75">
      <w:pPr>
        <w:pStyle w:val="FootnoteText"/>
        <w:rPr>
          <w:lang w:val="en-IE"/>
        </w:rPr>
      </w:pPr>
      <w:r>
        <w:rPr>
          <w:rStyle w:val="FootnoteReference"/>
        </w:rPr>
        <w:footnoteRef/>
      </w:r>
      <w:r>
        <w:tab/>
        <w:t>Section 35 of the omnibus law of June 2026, repealing Section 1c) and Sub-title 16/A of the Constitutional Court Act. See 2024 Rule of Law Report, Hungary, pp. 35-36.</w:t>
      </w:r>
    </w:p>
  </w:footnote>
  <w:footnote w:id="206">
    <w:p w14:paraId="1423C712" w14:textId="68E01173" w:rsidR="0098612C" w:rsidRPr="00FE76E0" w:rsidRDefault="0098612C" w:rsidP="0098612C">
      <w:pPr>
        <w:pStyle w:val="FootnoteText"/>
        <w:rPr>
          <w:lang w:val="en-IE"/>
        </w:rPr>
      </w:pPr>
      <w:r>
        <w:rPr>
          <w:rStyle w:val="FootnoteReference"/>
        </w:rPr>
        <w:footnoteRef/>
      </w:r>
      <w:r>
        <w:tab/>
      </w:r>
      <w:r w:rsidR="008C39E0">
        <w:t>T/324.</w:t>
      </w:r>
    </w:p>
  </w:footnote>
  <w:footnote w:id="207">
    <w:p w14:paraId="3B98B044" w14:textId="77777777" w:rsidR="0098612C" w:rsidRPr="00ED2BB5" w:rsidRDefault="0098612C" w:rsidP="0098612C">
      <w:pPr>
        <w:pStyle w:val="FootnoteText"/>
        <w:rPr>
          <w:lang w:val="en-IE"/>
        </w:rPr>
      </w:pPr>
      <w:r>
        <w:rPr>
          <w:rStyle w:val="FootnoteReference"/>
        </w:rPr>
        <w:footnoteRef/>
      </w:r>
      <w:r>
        <w:tab/>
      </w:r>
      <w:r w:rsidRPr="00EF0186">
        <w:t xml:space="preserve">Following the termination of the mandate of the President of the Republic in office, the National Assembly </w:t>
      </w:r>
      <w:r>
        <w:t>would</w:t>
      </w:r>
      <w:r w:rsidRPr="00EF0186">
        <w:t xml:space="preserve"> elect a President of the Republic for a term lasting until the date of entry into force of </w:t>
      </w:r>
      <w:r>
        <w:t>a</w:t>
      </w:r>
      <w:r w:rsidRPr="00EF0186">
        <w:t xml:space="preserve"> new Constitution, but for a maximum period of five years</w:t>
      </w:r>
      <w:r>
        <w:t>.</w:t>
      </w:r>
    </w:p>
  </w:footnote>
  <w:footnote w:id="208">
    <w:p w14:paraId="675F520B" w14:textId="5791FFE3" w:rsidR="00FC0AF3" w:rsidRPr="006536D8" w:rsidRDefault="00FC0AF3" w:rsidP="00FC0AF3">
      <w:pPr>
        <w:pStyle w:val="FootnoteText"/>
      </w:pPr>
      <w:r w:rsidRPr="006536D8">
        <w:rPr>
          <w:rStyle w:val="FootnoteReference"/>
        </w:rPr>
        <w:footnoteRef/>
      </w:r>
      <w:r w:rsidRPr="006536D8">
        <w:t xml:space="preserve"> </w:t>
      </w:r>
      <w:r w:rsidRPr="006536D8">
        <w:tab/>
        <w:t xml:space="preserve">Act LXXIX of 2025 amended </w:t>
      </w:r>
      <w:r w:rsidR="00DB29E2" w:rsidRPr="00DB29E2">
        <w:t>the Code</w:t>
      </w:r>
      <w:r w:rsidRPr="006536D8">
        <w:t xml:space="preserve"> of </w:t>
      </w:r>
      <w:r w:rsidR="00DB29E2" w:rsidRPr="00DB29E2">
        <w:t>Administrative Court Procedure</w:t>
      </w:r>
      <w:r w:rsidRPr="006536D8">
        <w:t>. The new rules make it easier for unrepresented individuals to submit petitions to the court, clarify the composition of the bench (whether a single judge or a panel of judges will hear the case) in certain instances, and speed up the process.</w:t>
      </w:r>
    </w:p>
  </w:footnote>
  <w:footnote w:id="209">
    <w:p w14:paraId="4EDB5E84" w14:textId="77777777" w:rsidR="00FC0AF3" w:rsidRPr="006536D8" w:rsidRDefault="00FC0AF3" w:rsidP="00FC0AF3">
      <w:pPr>
        <w:pStyle w:val="FootnoteText"/>
      </w:pPr>
      <w:r w:rsidRPr="006536D8">
        <w:rPr>
          <w:rStyle w:val="FootnoteReference"/>
        </w:rPr>
        <w:footnoteRef/>
      </w:r>
      <w:r w:rsidRPr="006536D8">
        <w:t xml:space="preserve"> </w:t>
      </w:r>
      <w:r w:rsidRPr="006536D8">
        <w:tab/>
        <w:t>These include cases related to elections, referenda, freedom of assembly, ‘suspension’ of citizenship.</w:t>
      </w:r>
    </w:p>
  </w:footnote>
  <w:footnote w:id="210">
    <w:p w14:paraId="50C5C4B8" w14:textId="30B09D14" w:rsidR="00FC0AF3" w:rsidRPr="006536D8" w:rsidRDefault="00FC0AF3" w:rsidP="00FC0AF3">
      <w:pPr>
        <w:pStyle w:val="FootnoteText"/>
      </w:pPr>
      <w:r w:rsidRPr="006536D8">
        <w:rPr>
          <w:rStyle w:val="FootnoteReference"/>
        </w:rPr>
        <w:footnoteRef/>
      </w:r>
      <w:r w:rsidRPr="006536D8">
        <w:t xml:space="preserve"> </w:t>
      </w:r>
      <w:r w:rsidRPr="006536D8">
        <w:tab/>
        <w:t xml:space="preserve">Section 8(2) of the </w:t>
      </w:r>
      <w:r w:rsidR="00BA1A0D" w:rsidRPr="00BA1A0D">
        <w:t>Protection of National Sovereignty Law</w:t>
      </w:r>
      <w:r w:rsidRPr="006536D8">
        <w:t>. The Constitutional Court did not rule this provision as unconstitutional (Decision 20/2024. (XI. 28.) AB).</w:t>
      </w:r>
    </w:p>
  </w:footnote>
  <w:footnote w:id="211">
    <w:p w14:paraId="4E18ADB8" w14:textId="77777777" w:rsidR="00FC0AF3" w:rsidRPr="006536D8" w:rsidRDefault="00FC0AF3" w:rsidP="00FC0AF3">
      <w:pPr>
        <w:pStyle w:val="FootnoteText"/>
      </w:pPr>
      <w:r w:rsidRPr="006536D8">
        <w:rPr>
          <w:rStyle w:val="FootnoteReference"/>
        </w:rPr>
        <w:footnoteRef/>
      </w:r>
      <w:r w:rsidRPr="006536D8">
        <w:t xml:space="preserve"> </w:t>
      </w:r>
      <w:r w:rsidRPr="006536D8">
        <w:tab/>
        <w:t xml:space="preserve">Government Decree 15/2026 of 3 February 2026. The decree came into force on 4 February 2026. Under the emergency measure, courts were also prevented from granting immediate legal protection (interim relief) in such cases. Introduced in 2012, the municipal ‘solidarity levy’ redistributes some of the revenues from local business taxes from wealthier municipalities to poorer ones. Its rate has increased steadily over time. According to the Constitutional Court, the local governments concerned must be involved in this procedure and it must be </w:t>
      </w:r>
      <w:r>
        <w:t>ascertained</w:t>
      </w:r>
      <w:r w:rsidRPr="006536D8">
        <w:t xml:space="preserve"> </w:t>
      </w:r>
      <w:r>
        <w:t>that</w:t>
      </w:r>
      <w:r w:rsidRPr="006536D8">
        <w:t xml:space="preserve"> the collection of the levy </w:t>
      </w:r>
      <w:r>
        <w:t>does</w:t>
      </w:r>
      <w:r w:rsidRPr="006536D8">
        <w:t xml:space="preserve"> not endanger their </w:t>
      </w:r>
      <w:r>
        <w:t>functioning</w:t>
      </w:r>
      <w:r w:rsidRPr="006536D8">
        <w:t>.</w:t>
      </w:r>
    </w:p>
  </w:footnote>
  <w:footnote w:id="212">
    <w:p w14:paraId="23CD54BF" w14:textId="77777777" w:rsidR="00FC0AF3" w:rsidRPr="00D260E2" w:rsidRDefault="00FC0AF3" w:rsidP="00FC0AF3">
      <w:pPr>
        <w:pStyle w:val="FootnoteText"/>
      </w:pPr>
      <w:r>
        <w:rPr>
          <w:rStyle w:val="FootnoteReference"/>
        </w:rPr>
        <w:footnoteRef/>
      </w:r>
      <w:r>
        <w:t xml:space="preserve"> </w:t>
      </w:r>
      <w:r>
        <w:tab/>
        <w:t xml:space="preserve">Pursuant to a motion submitted by the National Judicial Council, on 6 May 2026, the Constitutional Court annulled the justice-related provisions of the emergency measure (case </w:t>
      </w:r>
      <w:r w:rsidRPr="00573992">
        <w:t>IX/673/2026</w:t>
      </w:r>
      <w:r>
        <w:t>).</w:t>
      </w:r>
    </w:p>
  </w:footnote>
  <w:footnote w:id="213">
    <w:p w14:paraId="1738E241" w14:textId="77777777" w:rsidR="00FC0AF3" w:rsidRPr="001706E2" w:rsidRDefault="00FC0AF3" w:rsidP="00FC0AF3">
      <w:pPr>
        <w:pStyle w:val="FootnoteText"/>
      </w:pPr>
      <w:r>
        <w:rPr>
          <w:rStyle w:val="FootnoteReference"/>
        </w:rPr>
        <w:footnoteRef/>
      </w:r>
      <w:r>
        <w:t xml:space="preserve"> </w:t>
      </w:r>
      <w:r>
        <w:tab/>
        <w:t xml:space="preserve">Country visit Hungary, </w:t>
      </w:r>
      <w:r>
        <w:rPr>
          <w:lang w:val="hu-HU"/>
        </w:rPr>
        <w:t xml:space="preserve">Háttér Society. </w:t>
      </w:r>
      <w:r w:rsidRPr="00BD1C51">
        <w:rPr>
          <w:lang w:val="en-IE"/>
        </w:rPr>
        <w:t xml:space="preserve">This phenomenon </w:t>
      </w:r>
      <w:r>
        <w:rPr>
          <w:lang w:val="en-IE"/>
        </w:rPr>
        <w:t xml:space="preserve">was already described in the CJEU’s judgment of </w:t>
      </w:r>
      <w:r w:rsidRPr="00D1770B">
        <w:rPr>
          <w:lang w:val="en-IE"/>
        </w:rPr>
        <w:t>29 July 2019</w:t>
      </w:r>
      <w:r>
        <w:rPr>
          <w:lang w:val="en-IE"/>
        </w:rPr>
        <w:t xml:space="preserve">, </w:t>
      </w:r>
      <w:r w:rsidRPr="000C6646">
        <w:rPr>
          <w:i/>
          <w:iCs/>
          <w:lang w:val="en-IE"/>
        </w:rPr>
        <w:t>Torubarov</w:t>
      </w:r>
      <w:r w:rsidRPr="00BD1C51">
        <w:rPr>
          <w:lang w:val="en-IE"/>
        </w:rPr>
        <w:t>,</w:t>
      </w:r>
      <w:r>
        <w:rPr>
          <w:lang w:val="en-IE"/>
        </w:rPr>
        <w:t xml:space="preserve"> Case </w:t>
      </w:r>
      <w:r w:rsidRPr="009525FD">
        <w:rPr>
          <w:lang w:val="en-IE"/>
        </w:rPr>
        <w:t>C–556/17</w:t>
      </w:r>
      <w:r>
        <w:rPr>
          <w:lang w:val="en-IE"/>
        </w:rPr>
        <w:t>.</w:t>
      </w:r>
    </w:p>
  </w:footnote>
  <w:footnote w:id="214">
    <w:p w14:paraId="7C4C9A4C" w14:textId="77777777" w:rsidR="00FC0AF3" w:rsidRPr="006536D8" w:rsidRDefault="00FC0AF3" w:rsidP="00FC0AF3">
      <w:pPr>
        <w:pStyle w:val="FootnoteText"/>
      </w:pPr>
      <w:r w:rsidRPr="006536D8">
        <w:rPr>
          <w:rStyle w:val="FootnoteReference"/>
        </w:rPr>
        <w:footnoteRef/>
      </w:r>
      <w:r w:rsidRPr="006536D8">
        <w:t xml:space="preserve"> </w:t>
      </w:r>
      <w:r w:rsidRPr="006536D8">
        <w:tab/>
        <w:t>Venice Commission (2025), paras. 68 and 69. The possibility to ‘suspend’ Hungarian citizenship was introduced by the Fifteenth Amendment to the Fundamental Law (See Article G(3)) and Act LXIV of 2025, inserting Sections 9/A to 9/E to Act LV of 1993.</w:t>
      </w:r>
    </w:p>
  </w:footnote>
  <w:footnote w:id="215">
    <w:p w14:paraId="21C848C7" w14:textId="77777777" w:rsidR="00FC0AF3" w:rsidRPr="000915BB" w:rsidRDefault="00FC0AF3" w:rsidP="00FC0AF3">
      <w:pPr>
        <w:pStyle w:val="FootnoteText"/>
      </w:pPr>
      <w:r w:rsidRPr="000915BB">
        <w:rPr>
          <w:rStyle w:val="FootnoteReference"/>
        </w:rPr>
        <w:footnoteRef/>
      </w:r>
      <w:r w:rsidRPr="000915BB">
        <w:t xml:space="preserve"> </w:t>
      </w:r>
      <w:r w:rsidRPr="000915BB">
        <w:tab/>
        <w:t xml:space="preserve">For an explanation of the supervision process, see the </w:t>
      </w:r>
      <w:hyperlink r:id="rId3" w:history="1">
        <w:r w:rsidRPr="000915BB">
          <w:rPr>
            <w:rStyle w:val="Hyperlink"/>
          </w:rPr>
          <w:t>website</w:t>
        </w:r>
      </w:hyperlink>
      <w:r w:rsidRPr="000915BB">
        <w:t xml:space="preserve"> of the Council of Europe.  </w:t>
      </w:r>
    </w:p>
  </w:footnote>
  <w:footnote w:id="216">
    <w:p w14:paraId="1B9CB4D1" w14:textId="77777777" w:rsidR="00FC0AF3" w:rsidRPr="000915BB" w:rsidRDefault="00FC0AF3" w:rsidP="00FC0AF3">
      <w:pPr>
        <w:pStyle w:val="FootnoteText"/>
      </w:pPr>
      <w:r w:rsidRPr="000915BB">
        <w:rPr>
          <w:rStyle w:val="FootnoteReference"/>
        </w:rPr>
        <w:footnoteRef/>
      </w:r>
      <w:r w:rsidRPr="000915BB">
        <w:t xml:space="preserve"> </w:t>
      </w:r>
      <w:r w:rsidRPr="000915BB">
        <w:tab/>
        <w:t xml:space="preserve">All figures calculated by the European Implementation Network (EIN) and based on the number of cases that are considered pending at the annual cut-off date of 1 January </w:t>
      </w:r>
      <w:r>
        <w:t>2026</w:t>
      </w:r>
      <w:r w:rsidRPr="000915BB">
        <w:t>. EIN (</w:t>
      </w:r>
      <w:r>
        <w:t>2026</w:t>
      </w:r>
      <w:r w:rsidRPr="000915BB">
        <w:t>), written input, p. 5.</w:t>
      </w:r>
    </w:p>
  </w:footnote>
  <w:footnote w:id="217">
    <w:p w14:paraId="65D16414" w14:textId="77777777" w:rsidR="00FC0AF3" w:rsidRPr="000915BB" w:rsidRDefault="00FC0AF3" w:rsidP="00FC0AF3">
      <w:pPr>
        <w:pStyle w:val="FootnoteText"/>
      </w:pPr>
      <w:r w:rsidRPr="000915BB">
        <w:rPr>
          <w:rStyle w:val="FootnoteReference"/>
        </w:rPr>
        <w:footnoteRef/>
      </w:r>
      <w:r w:rsidRPr="000915BB">
        <w:t xml:space="preserve"> </w:t>
      </w:r>
      <w:r w:rsidRPr="000915BB">
        <w:tab/>
        <w:t xml:space="preserve">Judgment of the ECtHR, 5529/05, </w:t>
      </w:r>
      <w:r w:rsidRPr="00E84A32">
        <w:rPr>
          <w:i/>
          <w:iCs/>
        </w:rPr>
        <w:t>Patyi and Others v. Hungary,</w:t>
      </w:r>
      <w:r w:rsidRPr="000915BB">
        <w:t xml:space="preserve"> pending implementation since 2009. </w:t>
      </w:r>
    </w:p>
  </w:footnote>
  <w:footnote w:id="218">
    <w:p w14:paraId="2CF94F46" w14:textId="77777777" w:rsidR="00FC0AF3" w:rsidRPr="00087412" w:rsidRDefault="00FC0AF3" w:rsidP="00FC0AF3">
      <w:pPr>
        <w:pStyle w:val="FootnoteText"/>
      </w:pPr>
      <w:r w:rsidRPr="000915BB">
        <w:rPr>
          <w:rStyle w:val="FootnoteReference"/>
        </w:rPr>
        <w:footnoteRef/>
      </w:r>
      <w:r w:rsidRPr="000915BB">
        <w:t xml:space="preserve"> </w:t>
      </w:r>
      <w:r w:rsidRPr="000915BB">
        <w:tab/>
        <w:t>Council of Europe (</w:t>
      </w:r>
      <w:r>
        <w:t>2026</w:t>
      </w:r>
      <w:r w:rsidRPr="000915BB">
        <w:t>), p. 1</w:t>
      </w:r>
      <w:r>
        <w:t>62</w:t>
      </w:r>
      <w:r w:rsidRPr="000915BB">
        <w:t>.</w:t>
      </w:r>
      <w:r>
        <w:t xml:space="preserve">  </w:t>
      </w:r>
    </w:p>
  </w:footnote>
  <w:footnote w:id="219">
    <w:p w14:paraId="7362FB81" w14:textId="77777777" w:rsidR="00FC0AF3" w:rsidRPr="00715D1C" w:rsidRDefault="00FC0AF3" w:rsidP="00FC0AF3">
      <w:pPr>
        <w:pStyle w:val="FootnoteText"/>
      </w:pPr>
      <w:r w:rsidRPr="00715D1C">
        <w:rPr>
          <w:rStyle w:val="FootnoteReference"/>
        </w:rPr>
        <w:footnoteRef/>
      </w:r>
      <w:r w:rsidRPr="00715D1C">
        <w:t xml:space="preserve"> </w:t>
      </w:r>
      <w:r>
        <w:tab/>
      </w:r>
      <w:r w:rsidRPr="00715D1C">
        <w:t>Data according to the online database of the Council of Europe (HUDOC).</w:t>
      </w:r>
    </w:p>
  </w:footnote>
  <w:footnote w:id="220">
    <w:p w14:paraId="37578437" w14:textId="77777777" w:rsidR="00FC0AF3" w:rsidRPr="006536D8" w:rsidRDefault="00FC0AF3" w:rsidP="00FC0AF3">
      <w:pPr>
        <w:pStyle w:val="FootnoteText"/>
      </w:pPr>
      <w:r>
        <w:rPr>
          <w:rStyle w:val="FootnoteReference"/>
        </w:rPr>
        <w:footnoteRef/>
      </w:r>
      <w:r>
        <w:t xml:space="preserve"> </w:t>
      </w:r>
      <w:r>
        <w:tab/>
      </w:r>
      <w:r w:rsidRPr="00A9466A">
        <w:t>See 202</w:t>
      </w:r>
      <w:r>
        <w:t>5</w:t>
      </w:r>
      <w:r w:rsidRPr="00A9466A">
        <w:t xml:space="preserve"> Rule of Law Report, Hungary, p</w:t>
      </w:r>
      <w:r>
        <w:t>p</w:t>
      </w:r>
      <w:r w:rsidRPr="00A9466A">
        <w:t xml:space="preserve">. </w:t>
      </w:r>
      <w:r>
        <w:t>26-27</w:t>
      </w:r>
      <w:r w:rsidRPr="00A9466A">
        <w:t>.</w:t>
      </w:r>
    </w:p>
  </w:footnote>
  <w:footnote w:id="221">
    <w:p w14:paraId="337811AA" w14:textId="77777777" w:rsidR="00FC0AF3" w:rsidRPr="006536D8" w:rsidRDefault="00FC0AF3" w:rsidP="00FC0AF3">
      <w:pPr>
        <w:pStyle w:val="FootnoteText"/>
      </w:pPr>
      <w:r w:rsidRPr="006536D8">
        <w:rPr>
          <w:rStyle w:val="FootnoteReference"/>
        </w:rPr>
        <w:footnoteRef/>
      </w:r>
      <w:r w:rsidRPr="006536D8">
        <w:t xml:space="preserve"> </w:t>
      </w:r>
      <w:r w:rsidRPr="006536D8">
        <w:tab/>
        <w:t xml:space="preserve">Judgments of the ECtHR, 37138/14, </w:t>
      </w:r>
      <w:r w:rsidRPr="006536D8">
        <w:rPr>
          <w:i/>
          <w:iCs/>
        </w:rPr>
        <w:t>Szabó and Vissy v Hungary</w:t>
      </w:r>
      <w:r w:rsidRPr="006536D8">
        <w:t xml:space="preserve">, 58032/16, </w:t>
      </w:r>
      <w:r w:rsidRPr="006536D8">
        <w:rPr>
          <w:i/>
          <w:iCs/>
        </w:rPr>
        <w:t>Hüttl v Hungary</w:t>
      </w:r>
      <w:r w:rsidRPr="006536D8">
        <w:t xml:space="preserve"> and 31091/16, </w:t>
      </w:r>
      <w:r w:rsidRPr="006536D8">
        <w:rPr>
          <w:i/>
          <w:iCs/>
        </w:rPr>
        <w:t>Klaudia Csikós v Hungary</w:t>
      </w:r>
      <w:r w:rsidRPr="006536D8">
        <w:t>.</w:t>
      </w:r>
    </w:p>
  </w:footnote>
  <w:footnote w:id="222">
    <w:p w14:paraId="5E699183" w14:textId="51738E81" w:rsidR="00B255C1" w:rsidRPr="00ED2BB5" w:rsidRDefault="00B255C1">
      <w:pPr>
        <w:pStyle w:val="FootnoteText"/>
        <w:rPr>
          <w:lang w:val="en-IE"/>
        </w:rPr>
      </w:pPr>
      <w:r>
        <w:rPr>
          <w:rStyle w:val="FootnoteReference"/>
        </w:rPr>
        <w:footnoteRef/>
      </w:r>
      <w:r>
        <w:tab/>
      </w:r>
      <w:r w:rsidR="006A7C02" w:rsidRPr="006A7C02">
        <w:t>CM/Del/Dec(2026)1563/H46-19</w:t>
      </w:r>
      <w:r w:rsidR="006A7C02">
        <w:t xml:space="preserve">. </w:t>
      </w:r>
      <w:r w:rsidR="007B1DB2">
        <w:t xml:space="preserve">In the </w:t>
      </w:r>
      <w:r w:rsidR="006E27AC" w:rsidRPr="00ED2BB5">
        <w:rPr>
          <w:i/>
          <w:iCs/>
        </w:rPr>
        <w:t>Klaudia Csikós</w:t>
      </w:r>
      <w:r w:rsidR="006E27AC" w:rsidRPr="006E27AC">
        <w:t xml:space="preserve"> </w:t>
      </w:r>
      <w:r w:rsidR="00F44AB7">
        <w:t xml:space="preserve">case, the Committee of Ministers </w:t>
      </w:r>
      <w:r w:rsidR="00ED3F7B">
        <w:t>‘</w:t>
      </w:r>
      <w:r w:rsidR="00F44AB7" w:rsidRPr="00F44AB7">
        <w:t>noted with interest the new Code of Criminal Procedure, which has introduced a number of safeguards in respect of covert investigative measures in criminal proceedings, including a clearer definition of the persons who may be subject to such measures, the requirement of a prior balancing exercise with particular emphasis on the protection of journalists and their sources, and an obligation to notify individuals of such measures after the fact</w:t>
      </w:r>
      <w:r w:rsidR="00ED3F7B">
        <w:t>’</w:t>
      </w:r>
      <w:r w:rsidR="006E27AC">
        <w:t>.</w:t>
      </w:r>
    </w:p>
  </w:footnote>
  <w:footnote w:id="223">
    <w:p w14:paraId="204A7EE0" w14:textId="77777777" w:rsidR="00FC0AF3" w:rsidRPr="006536D8" w:rsidRDefault="00FC0AF3" w:rsidP="00FC0AF3">
      <w:pPr>
        <w:pStyle w:val="FootnoteText"/>
      </w:pPr>
      <w:r w:rsidRPr="006536D8">
        <w:rPr>
          <w:rStyle w:val="FootnoteReference"/>
        </w:rPr>
        <w:footnoteRef/>
      </w:r>
      <w:r w:rsidRPr="006536D8">
        <w:t xml:space="preserve"> </w:t>
      </w:r>
      <w:r w:rsidRPr="006536D8">
        <w:tab/>
        <w:t>See pillar II. These measures include the secret observation of individuals, places or vehicles; the gathering of information about what has happened in such places and the recording of such happenings by technical tools, such as video or audio recording. They also include the obtaining of data necessary to establish the communication via electronic devices or to identify or locate such devices.</w:t>
      </w:r>
    </w:p>
  </w:footnote>
  <w:footnote w:id="224">
    <w:p w14:paraId="64F2223A" w14:textId="77777777" w:rsidR="00FC0AF3" w:rsidRPr="006536D8" w:rsidRDefault="00FC0AF3" w:rsidP="00FC0AF3">
      <w:pPr>
        <w:pStyle w:val="FootnoteText"/>
      </w:pPr>
      <w:r w:rsidRPr="006536D8">
        <w:rPr>
          <w:rStyle w:val="FootnoteReference"/>
        </w:rPr>
        <w:footnoteRef/>
      </w:r>
      <w:r w:rsidRPr="006536D8">
        <w:t xml:space="preserve"> </w:t>
      </w:r>
      <w:r w:rsidRPr="006536D8">
        <w:tab/>
        <w:t xml:space="preserve">Judgment of the ECtHR, 15147/23 and 38303/23, </w:t>
      </w:r>
      <w:r w:rsidRPr="006536D8">
        <w:rPr>
          <w:i/>
          <w:iCs/>
        </w:rPr>
        <w:t>Szelényi and Others v Hungary</w:t>
      </w:r>
      <w:r w:rsidRPr="006536D8">
        <w:t>.</w:t>
      </w:r>
    </w:p>
  </w:footnote>
  <w:footnote w:id="225">
    <w:p w14:paraId="3817F685" w14:textId="77777777" w:rsidR="00FC0AF3" w:rsidRPr="00D575D0" w:rsidRDefault="00FC0AF3" w:rsidP="00FC0AF3">
      <w:pPr>
        <w:pStyle w:val="FootnoteText"/>
      </w:pPr>
      <w:r w:rsidRPr="0077705D">
        <w:rPr>
          <w:rStyle w:val="FootnoteReference"/>
        </w:rPr>
        <w:footnoteRef/>
      </w:r>
      <w:r w:rsidRPr="0077705D">
        <w:t xml:space="preserve"> </w:t>
      </w:r>
      <w:r w:rsidRPr="0077705D">
        <w:tab/>
        <w:t>Section 2(3) of Government Decree 49/2026 of 9 March 2026 on the measures necessary in the interest of national security in connection with the unusual quantities of cash and gold bars transported through the territory of Hungary.</w:t>
      </w:r>
    </w:p>
  </w:footnote>
  <w:footnote w:id="226">
    <w:p w14:paraId="15467B3B" w14:textId="77777777" w:rsidR="00765B24" w:rsidRPr="006536D8" w:rsidRDefault="00765B24" w:rsidP="00765B24">
      <w:pPr>
        <w:pStyle w:val="FootnoteText"/>
      </w:pPr>
      <w:r w:rsidRPr="006536D8">
        <w:rPr>
          <w:rStyle w:val="FootnoteReference"/>
        </w:rPr>
        <w:footnoteRef/>
      </w:r>
      <w:r w:rsidRPr="006536D8">
        <w:t xml:space="preserve"> </w:t>
      </w:r>
      <w:r w:rsidRPr="006536D8">
        <w:tab/>
        <w:t>The 2025 Rule of Law Report recommended that Hungary ‘[e]nsure that there are no obstacles hindering the work of civil society organisations, including by repealing legislation that hampers their capacity of working, and foster a safe and enabling civic space’.</w:t>
      </w:r>
      <w:r>
        <w:t xml:space="preserve"> </w:t>
      </w:r>
      <w:r w:rsidRPr="00561CF8">
        <w:t xml:space="preserve">No progress was previously assessed on this recommendation in </w:t>
      </w:r>
      <w:r>
        <w:t xml:space="preserve">2025, </w:t>
      </w:r>
      <w:r w:rsidRPr="00561CF8">
        <w:t>2024 and 2023.</w:t>
      </w:r>
    </w:p>
  </w:footnote>
  <w:footnote w:id="227">
    <w:p w14:paraId="16118120" w14:textId="45B572DF" w:rsidR="00FC0AF3" w:rsidRPr="006536D8" w:rsidRDefault="00FC0AF3" w:rsidP="00FC0AF3">
      <w:pPr>
        <w:pStyle w:val="FootnoteText"/>
      </w:pPr>
      <w:r w:rsidRPr="006536D8">
        <w:rPr>
          <w:rStyle w:val="FootnoteReference"/>
        </w:rPr>
        <w:footnoteRef/>
      </w:r>
      <w:r w:rsidRPr="006536D8">
        <w:t xml:space="preserve"> </w:t>
      </w:r>
      <w:r w:rsidRPr="006536D8">
        <w:tab/>
      </w:r>
      <w:r w:rsidRPr="006B06F4">
        <w:t>Ratings by Civicus are on a five-category scale defined as: open, narrowed, obstructed, repressed and closed.</w:t>
      </w:r>
      <w:r>
        <w:t xml:space="preserve"> </w:t>
      </w:r>
      <w:r w:rsidRPr="00632A27">
        <w:t xml:space="preserve">The score </w:t>
      </w:r>
      <w:r>
        <w:t xml:space="preserve">for Hungary </w:t>
      </w:r>
      <w:r w:rsidRPr="00632A27">
        <w:t xml:space="preserve">is </w:t>
      </w:r>
      <w:r>
        <w:t>46</w:t>
      </w:r>
      <w:r w:rsidRPr="00632A27">
        <w:t>/100.</w:t>
      </w:r>
      <w:r w:rsidRPr="00833461">
        <w:t xml:space="preserve"> </w:t>
      </w:r>
      <w:r w:rsidRPr="00ED2BB5">
        <w:t xml:space="preserve">In 2023, 61 076 CSOs were active according to the Hungarian Central Statistical Office. </w:t>
      </w:r>
      <w:r w:rsidR="00585D54">
        <w:t>T</w:t>
      </w:r>
      <w:r w:rsidRPr="00E32026">
        <w:t xml:space="preserve">he number of registered </w:t>
      </w:r>
      <w:r>
        <w:t>CSOs</w:t>
      </w:r>
      <w:r w:rsidRPr="00E32026">
        <w:t xml:space="preserve"> remained stable</w:t>
      </w:r>
      <w:r w:rsidR="0090471C">
        <w:t>,</w:t>
      </w:r>
      <w:r w:rsidRPr="00D82AA9">
        <w:t xml:space="preserve"> </w:t>
      </w:r>
      <w:r w:rsidR="00585D54">
        <w:t>and</w:t>
      </w:r>
      <w:r w:rsidRPr="00D82AA9">
        <w:t xml:space="preserve"> no forced dissolutions of CSOs were reported (</w:t>
      </w:r>
      <w:r w:rsidRPr="00D82AA9">
        <w:rPr>
          <w:lang w:val="en-IE"/>
        </w:rPr>
        <w:t>Monitoring Action for Civic Space, Country Report, 2025: Hungary, p. 7</w:t>
      </w:r>
      <w:r w:rsidRPr="00D82AA9">
        <w:t>).</w:t>
      </w:r>
    </w:p>
  </w:footnote>
  <w:footnote w:id="228">
    <w:p w14:paraId="38935BCD" w14:textId="0C7A3661" w:rsidR="00FC0AF3" w:rsidRPr="00D671D2" w:rsidRDefault="00FC0AF3" w:rsidP="00FC0AF3">
      <w:pPr>
        <w:pStyle w:val="FootnoteText"/>
        <w:rPr>
          <w:lang w:val="en-IE"/>
        </w:rPr>
      </w:pPr>
      <w:r>
        <w:rPr>
          <w:rStyle w:val="FootnoteReference"/>
        </w:rPr>
        <w:footnoteRef/>
      </w:r>
      <w:r>
        <w:t xml:space="preserve"> </w:t>
      </w:r>
      <w:r>
        <w:rPr>
          <w:lang w:val="en-IE"/>
        </w:rPr>
        <w:tab/>
      </w:r>
      <w:r w:rsidRPr="00331372">
        <w:rPr>
          <w:lang w:val="en-IE"/>
        </w:rPr>
        <w:t>Article 11 of the European Convention on Human Rights</w:t>
      </w:r>
      <w:r>
        <w:rPr>
          <w:lang w:val="en-IE"/>
        </w:rPr>
        <w:t xml:space="preserve"> </w:t>
      </w:r>
      <w:r w:rsidR="0090471C">
        <w:rPr>
          <w:lang w:val="en-IE"/>
        </w:rPr>
        <w:t>and</w:t>
      </w:r>
      <w:r>
        <w:rPr>
          <w:lang w:val="en-IE"/>
        </w:rPr>
        <w:t xml:space="preserve"> </w:t>
      </w:r>
      <w:r w:rsidRPr="00C1789F">
        <w:rPr>
          <w:lang w:val="en-IE"/>
        </w:rPr>
        <w:t>Recommendation CM/Rec(2007)14</w:t>
      </w:r>
      <w:r>
        <w:rPr>
          <w:lang w:val="en-IE"/>
        </w:rPr>
        <w:t xml:space="preserve"> of the Council of Europe.</w:t>
      </w:r>
    </w:p>
  </w:footnote>
  <w:footnote w:id="229">
    <w:p w14:paraId="0835A3A3" w14:textId="00AC254F" w:rsidR="00FC0AF3" w:rsidRPr="004B65CF" w:rsidRDefault="00FC0AF3" w:rsidP="00FC0AF3">
      <w:pPr>
        <w:pStyle w:val="FootnoteText"/>
        <w:rPr>
          <w:lang w:val="en-IE"/>
        </w:rPr>
      </w:pPr>
      <w:r w:rsidRPr="00BB6830">
        <w:rPr>
          <w:rStyle w:val="FootnoteReference"/>
          <w:lang w:val="en-IE"/>
        </w:rPr>
        <w:footnoteRef/>
      </w:r>
      <w:r w:rsidRPr="00E2223E">
        <w:rPr>
          <w:lang w:val="sv-SE"/>
        </w:rPr>
        <w:t xml:space="preserve"> </w:t>
      </w:r>
      <w:r w:rsidRPr="00E2223E">
        <w:rPr>
          <w:lang w:val="sv-SE"/>
        </w:rPr>
        <w:tab/>
        <w:t xml:space="preserve">Amnesty International Hungary et al. </w:t>
      </w:r>
      <w:r w:rsidRPr="004B65CF">
        <w:rPr>
          <w:lang w:val="en-IE"/>
        </w:rPr>
        <w:t>(2026), pp. 96-97.</w:t>
      </w:r>
      <w:r w:rsidR="00C80436" w:rsidRPr="004B65CF">
        <w:rPr>
          <w:lang w:val="en-IE"/>
        </w:rPr>
        <w:t xml:space="preserve"> According to the new </w:t>
      </w:r>
      <w:r w:rsidR="008B30D0" w:rsidRPr="004B65CF">
        <w:rPr>
          <w:lang w:val="en-IE"/>
        </w:rPr>
        <w:t xml:space="preserve">Government, </w:t>
      </w:r>
      <w:r w:rsidR="00B44409" w:rsidRPr="004B65CF">
        <w:rPr>
          <w:lang w:val="en-IE"/>
        </w:rPr>
        <w:t xml:space="preserve">a </w:t>
      </w:r>
      <w:r w:rsidR="008B30D0" w:rsidRPr="004B65CF">
        <w:rPr>
          <w:lang w:val="en-IE"/>
        </w:rPr>
        <w:t>Civil Community Service Centre Network provide</w:t>
      </w:r>
      <w:r w:rsidR="00B44409" w:rsidRPr="004B65CF">
        <w:rPr>
          <w:lang w:val="en-IE"/>
        </w:rPr>
        <w:t>s</w:t>
      </w:r>
      <w:r w:rsidR="008B30D0" w:rsidRPr="004B65CF">
        <w:rPr>
          <w:lang w:val="en-IE"/>
        </w:rPr>
        <w:t xml:space="preserve"> </w:t>
      </w:r>
      <w:r w:rsidR="00B44409" w:rsidRPr="004B65CF">
        <w:rPr>
          <w:lang w:val="en-IE"/>
        </w:rPr>
        <w:t xml:space="preserve">administrative </w:t>
      </w:r>
      <w:r w:rsidR="00824F75" w:rsidRPr="004B65CF">
        <w:rPr>
          <w:lang w:val="en-IE"/>
        </w:rPr>
        <w:t>support to CSOs.</w:t>
      </w:r>
      <w:r w:rsidR="00CC27BA">
        <w:rPr>
          <w:lang w:val="en-IE"/>
        </w:rPr>
        <w:t xml:space="preserve"> </w:t>
      </w:r>
      <w:r w:rsidR="00CC27BA" w:rsidRPr="00CC27BA">
        <w:rPr>
          <w:lang w:val="en-IE"/>
        </w:rPr>
        <w:t>They offer a free, public professional advisory service covering legal and public-benefit issues, as well as financial, accounting, and taxation matters.</w:t>
      </w:r>
    </w:p>
  </w:footnote>
  <w:footnote w:id="230">
    <w:p w14:paraId="0CD367BB" w14:textId="77777777" w:rsidR="00FC0AF3" w:rsidRPr="00BB6830" w:rsidRDefault="00FC0AF3" w:rsidP="00FC0AF3">
      <w:pPr>
        <w:pStyle w:val="FootnoteText"/>
        <w:rPr>
          <w:lang w:val="en-IE"/>
        </w:rPr>
      </w:pPr>
      <w:r w:rsidRPr="00BB6830">
        <w:rPr>
          <w:rStyle w:val="FootnoteReference"/>
          <w:lang w:val="en-IE"/>
        </w:rPr>
        <w:footnoteRef/>
      </w:r>
      <w:r w:rsidRPr="00E2223E">
        <w:rPr>
          <w:lang w:val="sv-SE"/>
        </w:rPr>
        <w:t xml:space="preserve"> </w:t>
      </w:r>
      <w:r w:rsidRPr="00E2223E">
        <w:rPr>
          <w:lang w:val="sv-SE"/>
        </w:rPr>
        <w:tab/>
        <w:t xml:space="preserve">Amnesty International Hungary et al. </w:t>
      </w:r>
      <w:r w:rsidRPr="00BB6830">
        <w:rPr>
          <w:lang w:val="en-IE"/>
        </w:rPr>
        <w:t>(2026), p. 97</w:t>
      </w:r>
      <w:r>
        <w:rPr>
          <w:lang w:val="en-IE"/>
        </w:rPr>
        <w:t>; Centre for Reproductive Rights (2026), p. 23.</w:t>
      </w:r>
    </w:p>
  </w:footnote>
  <w:footnote w:id="231">
    <w:p w14:paraId="253F174D" w14:textId="7C973DA8" w:rsidR="00FC0AF3" w:rsidRPr="004236F6" w:rsidRDefault="00FC0AF3" w:rsidP="00FC0AF3">
      <w:pPr>
        <w:pStyle w:val="FootnoteText"/>
      </w:pPr>
      <w:r>
        <w:rPr>
          <w:rStyle w:val="FootnoteReference"/>
        </w:rPr>
        <w:footnoteRef/>
      </w:r>
      <w:r>
        <w:t xml:space="preserve"> </w:t>
      </w:r>
      <w:r>
        <w:tab/>
      </w:r>
      <w:r w:rsidRPr="00306763">
        <w:t xml:space="preserve">The Pest Central District Court and the Pécs District Court, which </w:t>
      </w:r>
      <w:r>
        <w:t>were</w:t>
      </w:r>
      <w:r w:rsidRPr="00306763">
        <w:t xml:space="preserve"> hearing the criminal case</w:t>
      </w:r>
      <w:r>
        <w:t>s</w:t>
      </w:r>
      <w:r w:rsidRPr="00306763">
        <w:t xml:space="preserve"> brought against the organisers, </w:t>
      </w:r>
      <w:r w:rsidR="00E16E88">
        <w:t xml:space="preserve">had </w:t>
      </w:r>
      <w:r w:rsidRPr="00306763">
        <w:t>decided to suspend the proceedings and challenge</w:t>
      </w:r>
      <w:r>
        <w:t>d</w:t>
      </w:r>
      <w:r w:rsidRPr="00306763">
        <w:t xml:space="preserve"> certain provisions of the </w:t>
      </w:r>
      <w:r>
        <w:t>‘</w:t>
      </w:r>
      <w:r w:rsidRPr="00306763">
        <w:t>child protection law</w:t>
      </w:r>
      <w:r>
        <w:t>’</w:t>
      </w:r>
      <w:r w:rsidRPr="00306763">
        <w:t xml:space="preserve"> and the Freedom of Assembly Act before the Constitutional Court</w:t>
      </w:r>
      <w:r>
        <w:t xml:space="preserve"> </w:t>
      </w:r>
      <w:r w:rsidRPr="009345D6">
        <w:t xml:space="preserve">(cases </w:t>
      </w:r>
      <w:r w:rsidRPr="0015113A">
        <w:t>III/00880/2026</w:t>
      </w:r>
      <w:r>
        <w:t xml:space="preserve"> and </w:t>
      </w:r>
      <w:r w:rsidRPr="00FD22D2">
        <w:t>III/00898/</w:t>
      </w:r>
      <w:r w:rsidRPr="00DD7798">
        <w:t>2026</w:t>
      </w:r>
      <w:r w:rsidRPr="00D671D2">
        <w:t>)</w:t>
      </w:r>
      <w:r w:rsidRPr="00DD7798">
        <w:t>.</w:t>
      </w:r>
      <w:r w:rsidRPr="00D671D2">
        <w:rPr>
          <w:lang w:val="hu-HU"/>
        </w:rPr>
        <w:t xml:space="preserve"> </w:t>
      </w:r>
      <w:r w:rsidRPr="00DD7798">
        <w:t>On</w:t>
      </w:r>
      <w:r>
        <w:t xml:space="preserve"> 21 April 2026, the CJEU found that </w:t>
      </w:r>
      <w:r w:rsidRPr="00102436">
        <w:t>by adopting a law which stigmatises and marginalises LGBTI+ persons, Hungary ha</w:t>
      </w:r>
      <w:r>
        <w:t>d</w:t>
      </w:r>
      <w:r w:rsidRPr="00102436">
        <w:t xml:space="preserve"> acted in breach of EU law</w:t>
      </w:r>
      <w:r>
        <w:t xml:space="preserve"> (judgment of the CJEU, case </w:t>
      </w:r>
      <w:r w:rsidRPr="004C5C87">
        <w:t>C-769/22</w:t>
      </w:r>
      <w:r>
        <w:t xml:space="preserve">, </w:t>
      </w:r>
      <w:r w:rsidRPr="00D671D2">
        <w:rPr>
          <w:i/>
          <w:iCs/>
        </w:rPr>
        <w:t>Commission v Hungary (Values of the European Union)</w:t>
      </w:r>
      <w:r>
        <w:t>). Relying on that judgment, on 4 June 2026, the prosecution service dropped the charges.</w:t>
      </w:r>
    </w:p>
  </w:footnote>
  <w:footnote w:id="232">
    <w:p w14:paraId="006D9874" w14:textId="77777777" w:rsidR="00FC0AF3" w:rsidRPr="006536D8" w:rsidRDefault="00FC0AF3" w:rsidP="00FC0AF3">
      <w:pPr>
        <w:pStyle w:val="FootnoteText"/>
      </w:pPr>
      <w:r w:rsidRPr="006536D8">
        <w:rPr>
          <w:rStyle w:val="FootnoteReference"/>
        </w:rPr>
        <w:footnoteRef/>
      </w:r>
      <w:r w:rsidRPr="006536D8">
        <w:t xml:space="preserve"> </w:t>
      </w:r>
      <w:r w:rsidRPr="006536D8">
        <w:tab/>
        <w:t xml:space="preserve">See Section 253 of Act XLI of 2018 introducing a special 25% immigration tax applicable to financial support received by organisations carrying out ‘activities facilitating immigration’ and Section of 353/A of Act C of 2012 that deters the provision of legal assistance to asylum-seekers through criminalisation. Under Act XLIX of 2021 ‘on the transparency of organisations carrying out activities capable of influencing public life’, the State Audit Office continues to publish yearly summary reports, without mentioning specific CSOs. </w:t>
      </w:r>
      <w:r>
        <w:t>T</w:t>
      </w:r>
      <w:r w:rsidRPr="006536D8">
        <w:t xml:space="preserve">he draft law ‘on transparency in public life’, tabled on 13 May 2025 (see 2025 Rule of Law Report, Hungary, p. 28), is </w:t>
      </w:r>
      <w:r>
        <w:t>no longer</w:t>
      </w:r>
      <w:r w:rsidRPr="006536D8">
        <w:t xml:space="preserve"> pending before the National Assembly.</w:t>
      </w:r>
    </w:p>
  </w:footnote>
  <w:footnote w:id="233">
    <w:p w14:paraId="077E4574" w14:textId="77777777" w:rsidR="00FC0AF3" w:rsidRPr="00FF1F19" w:rsidRDefault="00FC0AF3" w:rsidP="00FC0AF3">
      <w:pPr>
        <w:pStyle w:val="FootnoteText"/>
        <w:rPr>
          <w:lang w:val="en-IE"/>
        </w:rPr>
      </w:pPr>
      <w:r w:rsidRPr="009D2F1B">
        <w:rPr>
          <w:rStyle w:val="FootnoteReference"/>
        </w:rPr>
        <w:footnoteRef/>
      </w:r>
      <w:r w:rsidRPr="009D2F1B">
        <w:t xml:space="preserve"> </w:t>
      </w:r>
      <w:r w:rsidRPr="009D2F1B">
        <w:rPr>
          <w:lang w:val="en-IE"/>
        </w:rPr>
        <w:tab/>
        <w:t>Monitoring Action for Civic Space, Country Report, 2025: Hungary, p. 6.</w:t>
      </w:r>
    </w:p>
  </w:footnote>
  <w:footnote w:id="234">
    <w:p w14:paraId="123B262C" w14:textId="77777777" w:rsidR="00FC0AF3" w:rsidRPr="006536D8" w:rsidRDefault="00FC0AF3" w:rsidP="00FC0AF3">
      <w:pPr>
        <w:pStyle w:val="FootnoteText"/>
      </w:pPr>
      <w:r w:rsidRPr="006536D8">
        <w:rPr>
          <w:rStyle w:val="FootnoteReference"/>
        </w:rPr>
        <w:footnoteRef/>
      </w:r>
      <w:r w:rsidRPr="006536D8">
        <w:t xml:space="preserve"> </w:t>
      </w:r>
      <w:r w:rsidRPr="006536D8">
        <w:tab/>
      </w:r>
      <w:r w:rsidRPr="009B0E83">
        <w:t xml:space="preserve">On 4 December 2025, the Budapest Regional Court ruled that a report published by the Office in 2024 had wrongly accused </w:t>
      </w:r>
      <w:r w:rsidRPr="00BD1C51">
        <w:rPr>
          <w:i/>
          <w:iCs/>
        </w:rPr>
        <w:t>Átlátszó</w:t>
      </w:r>
      <w:r w:rsidRPr="009B0E83">
        <w:t xml:space="preserve">, an investigative portal, of spying and spreading disinformation </w:t>
      </w:r>
      <w:r>
        <w:t>(</w:t>
      </w:r>
      <w:r w:rsidRPr="00A10EC0">
        <w:t>Judgment 19.P.20.067/2025/19</w:t>
      </w:r>
      <w:r>
        <w:t>)</w:t>
      </w:r>
      <w:r w:rsidRPr="00A10EC0">
        <w:t>.</w:t>
      </w:r>
      <w:r>
        <w:t xml:space="preserve"> On 28 May 2026, the </w:t>
      </w:r>
      <w:r w:rsidRPr="009B0E83">
        <w:t xml:space="preserve">Budapest Regional </w:t>
      </w:r>
      <w:r>
        <w:t xml:space="preserve">Appeal </w:t>
      </w:r>
      <w:r w:rsidRPr="009B0E83">
        <w:t>Court</w:t>
      </w:r>
      <w:r>
        <w:t xml:space="preserve"> quashed the judgment, and remitted the case to the first-instance court.</w:t>
      </w:r>
    </w:p>
  </w:footnote>
  <w:footnote w:id="235">
    <w:p w14:paraId="62DB4436" w14:textId="5B1E93FD" w:rsidR="00AB3B31" w:rsidRPr="00190644" w:rsidRDefault="00AB3B31">
      <w:pPr>
        <w:pStyle w:val="FootnoteText"/>
        <w:rPr>
          <w:lang w:val="hu-HU"/>
        </w:rPr>
      </w:pPr>
      <w:r>
        <w:rPr>
          <w:rStyle w:val="FootnoteReference"/>
        </w:rPr>
        <w:footnoteRef/>
      </w:r>
      <w:r>
        <w:tab/>
      </w:r>
      <w:r w:rsidR="00750206">
        <w:t xml:space="preserve">Article </w:t>
      </w:r>
      <w:r w:rsidR="00AB6293">
        <w:t>3</w:t>
      </w:r>
      <w:r w:rsidR="00750206">
        <w:t xml:space="preserve"> of the </w:t>
      </w:r>
      <w:r w:rsidR="00750206" w:rsidRPr="00750206">
        <w:t>Sixteenth Amendment</w:t>
      </w:r>
      <w:r w:rsidR="004D7C1C">
        <w:t xml:space="preserve"> repealing </w:t>
      </w:r>
      <w:r w:rsidR="00AB6293">
        <w:t xml:space="preserve">the second sentence of </w:t>
      </w:r>
      <w:r w:rsidR="004D7C1C">
        <w:t xml:space="preserve">Article </w:t>
      </w:r>
      <w:r w:rsidR="00AB6293">
        <w:t>R</w:t>
      </w:r>
      <w:r w:rsidR="00E55304">
        <w:t>(</w:t>
      </w:r>
      <w:r w:rsidR="00AB6293">
        <w:t>4</w:t>
      </w:r>
      <w:r w:rsidR="00E55304">
        <w:t xml:space="preserve">) of </w:t>
      </w:r>
      <w:r w:rsidR="00750206" w:rsidRPr="00750206">
        <w:t xml:space="preserve">the Fundamental Law </w:t>
      </w:r>
      <w:r w:rsidR="00750206">
        <w:t xml:space="preserve">and </w:t>
      </w:r>
      <w:r w:rsidRPr="00AB3B31">
        <w:t xml:space="preserve">Act </w:t>
      </w:r>
      <w:r w:rsidR="008B7B15">
        <w:t>XXIV</w:t>
      </w:r>
      <w:r w:rsidRPr="00AB3B31">
        <w:t xml:space="preserve"> of 2026</w:t>
      </w:r>
      <w:r w:rsidR="00750206">
        <w:t>.</w:t>
      </w:r>
    </w:p>
  </w:footnote>
  <w:footnote w:id="236">
    <w:p w14:paraId="0234195A" w14:textId="77777777" w:rsidR="00FC0AF3" w:rsidRPr="006536D8" w:rsidRDefault="00FC0AF3" w:rsidP="00FC0AF3">
      <w:pPr>
        <w:pStyle w:val="FootnoteText"/>
      </w:pPr>
      <w:r w:rsidRPr="006536D8">
        <w:rPr>
          <w:rStyle w:val="FootnoteReference"/>
        </w:rPr>
        <w:footnoteRef/>
      </w:r>
      <w:r w:rsidRPr="006536D8">
        <w:t xml:space="preserve"> </w:t>
      </w:r>
      <w:r w:rsidRPr="006536D8">
        <w:tab/>
        <w:t>Case C-829/24</w:t>
      </w:r>
      <w:r>
        <w:t xml:space="preserve">. </w:t>
      </w:r>
      <w:r w:rsidRPr="002C06F9">
        <w:t>On 12 February 2026</w:t>
      </w:r>
      <w:r>
        <w:t xml:space="preserve">, </w:t>
      </w:r>
      <w:r w:rsidRPr="006536D8">
        <w:t xml:space="preserve">Advocate General Kokott </w:t>
      </w:r>
      <w:r w:rsidRPr="00531AF2">
        <w:t>invited the Court to find that Hungary has infringed EU law by adopting the Law on the protection of national sovereignty</w:t>
      </w:r>
      <w:r>
        <w:t>.</w:t>
      </w:r>
    </w:p>
  </w:footnote>
  <w:footnote w:id="237">
    <w:p w14:paraId="23BD45BC" w14:textId="3A8C746F" w:rsidR="00FC0AF3" w:rsidRPr="006536D8" w:rsidRDefault="00FC0AF3" w:rsidP="00FC0AF3">
      <w:pPr>
        <w:pStyle w:val="FootnoteText"/>
      </w:pPr>
      <w:r w:rsidRPr="006536D8">
        <w:rPr>
          <w:rStyle w:val="FootnoteReference"/>
        </w:rPr>
        <w:footnoteRef/>
      </w:r>
      <w:r w:rsidRPr="006536D8">
        <w:t xml:space="preserve"> </w:t>
      </w:r>
      <w:r w:rsidRPr="006536D8">
        <w:tab/>
      </w:r>
      <w:r w:rsidRPr="00EE7B5D">
        <w:t>444.hu (2025)</w:t>
      </w:r>
      <w:r>
        <w:t xml:space="preserve">. </w:t>
      </w:r>
      <w:r w:rsidRPr="006536D8">
        <w:t>There are several state instruments, e.g. the National Cooperation Fund and the City and Village Civil Funds, that support CSOs with significant amounts: the former with HUF 16 billion (</w:t>
      </w:r>
      <w:r>
        <w:t>EUR</w:t>
      </w:r>
      <w:r w:rsidRPr="006536D8">
        <w:t xml:space="preserve"> 4</w:t>
      </w:r>
      <w:r w:rsidR="00C35548">
        <w:t>5</w:t>
      </w:r>
      <w:r w:rsidRPr="006536D8">
        <w:t xml:space="preserve"> million), while the latter with HUF 4.8 billion (</w:t>
      </w:r>
      <w:r>
        <w:t>EUR</w:t>
      </w:r>
      <w:r w:rsidRPr="006536D8">
        <w:t xml:space="preserve"> 1</w:t>
      </w:r>
      <w:r>
        <w:t>3</w:t>
      </w:r>
      <w:r w:rsidR="00183363">
        <w:t>.5</w:t>
      </w:r>
      <w:r w:rsidRPr="006536D8">
        <w:t xml:space="preserve"> million) each in 2025.</w:t>
      </w:r>
    </w:p>
  </w:footnote>
  <w:footnote w:id="238">
    <w:p w14:paraId="2F2909B1" w14:textId="77777777" w:rsidR="00FC0AF3" w:rsidRPr="00694730" w:rsidRDefault="00FC0AF3" w:rsidP="00FC0AF3">
      <w:pPr>
        <w:pStyle w:val="FootnoteText"/>
        <w:rPr>
          <w:lang w:val="en-IE"/>
        </w:rPr>
      </w:pPr>
      <w:r>
        <w:rPr>
          <w:rStyle w:val="FootnoteReference"/>
        </w:rPr>
        <w:footnoteRef/>
      </w:r>
      <w:r>
        <w:t xml:space="preserve"> </w:t>
      </w:r>
      <w:r>
        <w:rPr>
          <w:lang w:val="en-IE"/>
        </w:rPr>
        <w:tab/>
        <w:t>T</w:t>
      </w:r>
      <w:r w:rsidRPr="00E3236C">
        <w:rPr>
          <w:lang w:val="en-IE"/>
        </w:rPr>
        <w:t xml:space="preserve">he </w:t>
      </w:r>
      <w:r>
        <w:rPr>
          <w:lang w:val="en-IE"/>
        </w:rPr>
        <w:t>ÉLVONAL</w:t>
      </w:r>
      <w:r w:rsidRPr="00E3236C">
        <w:rPr>
          <w:lang w:val="en-IE"/>
        </w:rPr>
        <w:t xml:space="preserve"> </w:t>
      </w:r>
      <w:r w:rsidRPr="00E7101C">
        <w:rPr>
          <w:lang w:val="en-IE"/>
        </w:rPr>
        <w:t>Top Research and Talent Development Foundation</w:t>
      </w:r>
      <w:r w:rsidRPr="00E3236C">
        <w:rPr>
          <w:lang w:val="en-IE"/>
        </w:rPr>
        <w:t xml:space="preserve"> was</w:t>
      </w:r>
      <w:r>
        <w:rPr>
          <w:lang w:val="en-IE"/>
        </w:rPr>
        <w:t xml:space="preserve"> </w:t>
      </w:r>
      <w:r w:rsidRPr="00E3236C">
        <w:rPr>
          <w:lang w:val="en-IE"/>
        </w:rPr>
        <w:t>established by Act LII of 2025.</w:t>
      </w:r>
      <w:r>
        <w:rPr>
          <w:lang w:val="en-IE"/>
        </w:rPr>
        <w:t xml:space="preserve"> </w:t>
      </w:r>
      <w:r w:rsidRPr="00E3236C">
        <w:rPr>
          <w:lang w:val="en-IE"/>
        </w:rPr>
        <w:t xml:space="preserve">The ZalaZONE Foundation </w:t>
      </w:r>
      <w:r>
        <w:rPr>
          <w:lang w:val="en-IE"/>
        </w:rPr>
        <w:t xml:space="preserve">was </w:t>
      </w:r>
      <w:r w:rsidRPr="00E3236C">
        <w:rPr>
          <w:lang w:val="en-IE"/>
        </w:rPr>
        <w:t>established by Act LIII of 2025</w:t>
      </w:r>
      <w:r>
        <w:rPr>
          <w:lang w:val="en-IE"/>
        </w:rPr>
        <w:t>.</w:t>
      </w:r>
      <w:r w:rsidRPr="00E3236C">
        <w:rPr>
          <w:lang w:val="en-IE"/>
        </w:rPr>
        <w:t xml:space="preserve"> </w:t>
      </w:r>
    </w:p>
  </w:footnote>
  <w:footnote w:id="239">
    <w:p w14:paraId="4F4F9590" w14:textId="7E53579E" w:rsidR="00CC7888" w:rsidRPr="00D33CB5" w:rsidRDefault="00CC7888">
      <w:pPr>
        <w:pStyle w:val="FootnoteText"/>
        <w:rPr>
          <w:lang w:val="hu-HU"/>
        </w:rPr>
      </w:pPr>
      <w:r>
        <w:rPr>
          <w:rStyle w:val="FootnoteReference"/>
        </w:rPr>
        <w:footnoteRef/>
      </w:r>
      <w:r>
        <w:tab/>
      </w:r>
      <w:r w:rsidR="00AE3F6F">
        <w:t xml:space="preserve">Article 4 of the </w:t>
      </w:r>
      <w:r w:rsidR="00AE3F6F" w:rsidRPr="00750206">
        <w:t>Sixteenth Amendment</w:t>
      </w:r>
      <w:r w:rsidR="00AE3F6F">
        <w:t xml:space="preserve"> repealing Article 38(6) of </w:t>
      </w:r>
      <w:r w:rsidR="00AE3F6F" w:rsidRPr="00750206">
        <w:t>the Fundamental Law</w:t>
      </w:r>
      <w:r w:rsidR="00424497">
        <w:t xml:space="preserve">, </w:t>
      </w:r>
      <w:r>
        <w:t xml:space="preserve">Article </w:t>
      </w:r>
      <w:r w:rsidR="00C71FA9">
        <w:t>5</w:t>
      </w:r>
      <w:r>
        <w:t xml:space="preserve"> of the </w:t>
      </w:r>
      <w:r w:rsidRPr="00750206">
        <w:t xml:space="preserve">Sixteenth Amendment </w:t>
      </w:r>
      <w:r w:rsidR="00424497">
        <w:t xml:space="preserve">introducing point 33 to the closing and miscellaneous </w:t>
      </w:r>
      <w:r w:rsidR="00AB6293">
        <w:t>provisions of</w:t>
      </w:r>
      <w:r w:rsidRPr="00750206">
        <w:t xml:space="preserve"> the Fundamental Law </w:t>
      </w:r>
      <w:r>
        <w:t xml:space="preserve">and </w:t>
      </w:r>
      <w:r w:rsidR="008B56D2">
        <w:t>the omnibus law</w:t>
      </w:r>
      <w:r w:rsidRPr="00AB3B31">
        <w:t xml:space="preserve"> of 2026</w:t>
      </w:r>
      <w:r w:rsidR="00E4210B">
        <w:t xml:space="preserve"> amending </w:t>
      </w:r>
      <w:r w:rsidR="008C251F">
        <w:t xml:space="preserve">the PIT Act and repealing the dedicated laws </w:t>
      </w:r>
      <w:r w:rsidR="004E33BB">
        <w:t xml:space="preserve">authorising the government to endow PITs that do not maintain higher education institutions </w:t>
      </w:r>
      <w:r w:rsidR="00826CAA">
        <w:t>in Hungary</w:t>
      </w:r>
      <w:r w:rsidR="00CC369B">
        <w:t>.</w:t>
      </w:r>
      <w:r w:rsidR="00826CAA">
        <w:t xml:space="preserve"> Such PITs will need to be de-registered by 31 August 2026.</w:t>
      </w:r>
      <w:r w:rsidR="002C4B1F">
        <w:t xml:space="preserve"> PITs maintaining higher education institutions in Hungary </w:t>
      </w:r>
      <w:r w:rsidR="00865BFC">
        <w:t>will be de-registered by 1 August 2027.</w:t>
      </w:r>
      <w:r w:rsidR="009701E2">
        <w:t xml:space="preserve"> See </w:t>
      </w:r>
      <w:r w:rsidR="007B07C8">
        <w:t>also</w:t>
      </w:r>
      <w:r w:rsidR="009701E2">
        <w:t xml:space="preserve"> pillar II.</w:t>
      </w:r>
    </w:p>
  </w:footnote>
  <w:footnote w:id="240">
    <w:p w14:paraId="5465899A" w14:textId="77777777" w:rsidR="00FC0AF3" w:rsidRPr="00DE52F7" w:rsidRDefault="00FC0AF3" w:rsidP="00FC0AF3">
      <w:pPr>
        <w:pStyle w:val="FootnoteText"/>
      </w:pPr>
      <w:r>
        <w:rPr>
          <w:rStyle w:val="FootnoteReference"/>
        </w:rPr>
        <w:footnoteRef/>
      </w:r>
      <w:r>
        <w:t xml:space="preserve"> </w:t>
      </w:r>
      <w:r>
        <w:tab/>
        <w:t xml:space="preserve">CSOs also </w:t>
      </w:r>
      <w:r w:rsidRPr="00DE52F7">
        <w:t>rely on 1% of personal income tax based on citizens’ assignation, as well as on micro-donations, which they collect with increasing efficiency</w:t>
      </w:r>
      <w:r>
        <w:t xml:space="preserve"> </w:t>
      </w:r>
      <w:r>
        <w:rPr>
          <w:lang w:val="hu-HU"/>
        </w:rPr>
        <w:t>Ökotárs (2026), p. 24.</w:t>
      </w:r>
    </w:p>
  </w:footnote>
  <w:footnote w:id="241">
    <w:p w14:paraId="565CC747" w14:textId="77777777" w:rsidR="00FC0AF3" w:rsidRPr="009D2F1B" w:rsidRDefault="00FC0AF3" w:rsidP="00FC0AF3">
      <w:pPr>
        <w:pStyle w:val="FootnoteText"/>
        <w:rPr>
          <w:lang w:val="hu-HU"/>
        </w:rPr>
      </w:pPr>
      <w:r>
        <w:rPr>
          <w:rStyle w:val="FootnoteReference"/>
        </w:rPr>
        <w:footnoteRef/>
      </w:r>
      <w:r>
        <w:t xml:space="preserve"> </w:t>
      </w:r>
      <w:r>
        <w:tab/>
      </w:r>
      <w:r w:rsidRPr="00CC17BD">
        <w:t xml:space="preserve">Monitoring Action for Civic Space, Country Report, 2025: Hungary, p. </w:t>
      </w:r>
      <w:r>
        <w:t xml:space="preserve">8. </w:t>
      </w:r>
      <w:r>
        <w:rPr>
          <w:lang w:val="hu-HU"/>
        </w:rPr>
        <w:t>Ökotárs (2026), p. 17.</w:t>
      </w:r>
    </w:p>
  </w:footnote>
  <w:footnote w:id="242">
    <w:p w14:paraId="4055C75C" w14:textId="77777777" w:rsidR="00FC0AF3" w:rsidRPr="00630438" w:rsidRDefault="00FC0AF3" w:rsidP="00FC0AF3">
      <w:pPr>
        <w:pStyle w:val="FootnoteText"/>
        <w:rPr>
          <w:lang w:val="en-IE"/>
        </w:rPr>
      </w:pPr>
      <w:r w:rsidRPr="00BB6830">
        <w:rPr>
          <w:rStyle w:val="FootnoteReference"/>
          <w:lang w:val="en-IE"/>
        </w:rPr>
        <w:footnoteRef/>
      </w:r>
      <w:r w:rsidRPr="00E2223E">
        <w:rPr>
          <w:lang w:val="sv-SE"/>
        </w:rPr>
        <w:t xml:space="preserve"> </w:t>
      </w:r>
      <w:r w:rsidRPr="00E2223E">
        <w:rPr>
          <w:lang w:val="sv-SE"/>
        </w:rPr>
        <w:tab/>
        <w:t xml:space="preserve">Amnesty International Hungary et al. </w:t>
      </w:r>
      <w:r w:rsidRPr="00BB6830">
        <w:rPr>
          <w:lang w:val="en-IE"/>
        </w:rPr>
        <w:t>(2026), p. 100.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3B4C5" w14:textId="77777777" w:rsidR="004F21AA" w:rsidRPr="004F21AA" w:rsidRDefault="004F21AA" w:rsidP="004F21A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FB28F" w14:textId="77777777" w:rsidR="004F21AA" w:rsidRPr="004F21AA" w:rsidRDefault="004F21AA" w:rsidP="004F21A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171DC" w14:textId="77777777" w:rsidR="004F21AA" w:rsidRPr="004F21AA" w:rsidRDefault="004F21AA" w:rsidP="004F21A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FA5EE" w14:textId="6FD4B5AC" w:rsidR="00FC0AF3" w:rsidRDefault="00FC0A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F3993" w14:textId="4E4A7554" w:rsidR="00FC0AF3" w:rsidRPr="00AA497F" w:rsidRDefault="00FC0AF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5A12D" w14:textId="16DB22DA" w:rsidR="00FC0AF3" w:rsidRDefault="00FC0A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D202D28"/>
    <w:multiLevelType w:val="hybridMultilevel"/>
    <w:tmpl w:val="1DC678CE"/>
    <w:lvl w:ilvl="0" w:tplc="DC2E831C">
      <w:start w:val="1"/>
      <w:numFmt w:val="bullet"/>
      <w:lvlText w:val=""/>
      <w:lvlJc w:val="left"/>
      <w:pPr>
        <w:ind w:left="1080" w:hanging="360"/>
      </w:pPr>
      <w:rPr>
        <w:rFonts w:ascii="Symbol" w:hAnsi="Symbol"/>
      </w:rPr>
    </w:lvl>
    <w:lvl w:ilvl="1" w:tplc="66B0C6A8">
      <w:start w:val="1"/>
      <w:numFmt w:val="bullet"/>
      <w:lvlText w:val=""/>
      <w:lvlJc w:val="left"/>
      <w:pPr>
        <w:ind w:left="1080" w:hanging="360"/>
      </w:pPr>
      <w:rPr>
        <w:rFonts w:ascii="Symbol" w:hAnsi="Symbol"/>
      </w:rPr>
    </w:lvl>
    <w:lvl w:ilvl="2" w:tplc="A44C65D8">
      <w:start w:val="1"/>
      <w:numFmt w:val="bullet"/>
      <w:lvlText w:val=""/>
      <w:lvlJc w:val="left"/>
      <w:pPr>
        <w:ind w:left="1080" w:hanging="360"/>
      </w:pPr>
      <w:rPr>
        <w:rFonts w:ascii="Symbol" w:hAnsi="Symbol"/>
      </w:rPr>
    </w:lvl>
    <w:lvl w:ilvl="3" w:tplc="9C40C6F2">
      <w:start w:val="1"/>
      <w:numFmt w:val="bullet"/>
      <w:lvlText w:val=""/>
      <w:lvlJc w:val="left"/>
      <w:pPr>
        <w:ind w:left="1080" w:hanging="360"/>
      </w:pPr>
      <w:rPr>
        <w:rFonts w:ascii="Symbol" w:hAnsi="Symbol"/>
      </w:rPr>
    </w:lvl>
    <w:lvl w:ilvl="4" w:tplc="EA5EBF04">
      <w:start w:val="1"/>
      <w:numFmt w:val="bullet"/>
      <w:lvlText w:val=""/>
      <w:lvlJc w:val="left"/>
      <w:pPr>
        <w:ind w:left="1080" w:hanging="360"/>
      </w:pPr>
      <w:rPr>
        <w:rFonts w:ascii="Symbol" w:hAnsi="Symbol"/>
      </w:rPr>
    </w:lvl>
    <w:lvl w:ilvl="5" w:tplc="99ACFD28">
      <w:start w:val="1"/>
      <w:numFmt w:val="bullet"/>
      <w:lvlText w:val=""/>
      <w:lvlJc w:val="left"/>
      <w:pPr>
        <w:ind w:left="1080" w:hanging="360"/>
      </w:pPr>
      <w:rPr>
        <w:rFonts w:ascii="Symbol" w:hAnsi="Symbol"/>
      </w:rPr>
    </w:lvl>
    <w:lvl w:ilvl="6" w:tplc="A63E165E">
      <w:start w:val="1"/>
      <w:numFmt w:val="bullet"/>
      <w:lvlText w:val=""/>
      <w:lvlJc w:val="left"/>
      <w:pPr>
        <w:ind w:left="1080" w:hanging="360"/>
      </w:pPr>
      <w:rPr>
        <w:rFonts w:ascii="Symbol" w:hAnsi="Symbol"/>
      </w:rPr>
    </w:lvl>
    <w:lvl w:ilvl="7" w:tplc="969694AA">
      <w:start w:val="1"/>
      <w:numFmt w:val="bullet"/>
      <w:lvlText w:val=""/>
      <w:lvlJc w:val="left"/>
      <w:pPr>
        <w:ind w:left="1080" w:hanging="360"/>
      </w:pPr>
      <w:rPr>
        <w:rFonts w:ascii="Symbol" w:hAnsi="Symbol"/>
      </w:rPr>
    </w:lvl>
    <w:lvl w:ilvl="8" w:tplc="E646875A">
      <w:start w:val="1"/>
      <w:numFmt w:val="bullet"/>
      <w:lvlText w:val=""/>
      <w:lvlJc w:val="left"/>
      <w:pPr>
        <w:ind w:left="1080" w:hanging="360"/>
      </w:pPr>
      <w:rPr>
        <w:rFonts w:ascii="Symbol" w:hAnsi="Symbol"/>
      </w:rPr>
    </w:lvl>
  </w:abstractNum>
  <w:abstractNum w:abstractNumId="2"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E651834"/>
    <w:multiLevelType w:val="hybridMultilevel"/>
    <w:tmpl w:val="7C82FE0C"/>
    <w:lvl w:ilvl="0" w:tplc="DFDEC59A">
      <w:start w:val="1"/>
      <w:numFmt w:val="bullet"/>
      <w:lvlText w:val=""/>
      <w:lvlJc w:val="left"/>
      <w:pPr>
        <w:ind w:left="1080" w:hanging="360"/>
      </w:pPr>
      <w:rPr>
        <w:rFonts w:ascii="Symbol" w:hAnsi="Symbol"/>
      </w:rPr>
    </w:lvl>
    <w:lvl w:ilvl="1" w:tplc="37AE94E4">
      <w:start w:val="1"/>
      <w:numFmt w:val="bullet"/>
      <w:lvlText w:val=""/>
      <w:lvlJc w:val="left"/>
      <w:pPr>
        <w:ind w:left="1080" w:hanging="360"/>
      </w:pPr>
      <w:rPr>
        <w:rFonts w:ascii="Symbol" w:hAnsi="Symbol"/>
      </w:rPr>
    </w:lvl>
    <w:lvl w:ilvl="2" w:tplc="589CE7B8">
      <w:start w:val="1"/>
      <w:numFmt w:val="bullet"/>
      <w:lvlText w:val=""/>
      <w:lvlJc w:val="left"/>
      <w:pPr>
        <w:ind w:left="1080" w:hanging="360"/>
      </w:pPr>
      <w:rPr>
        <w:rFonts w:ascii="Symbol" w:hAnsi="Symbol"/>
      </w:rPr>
    </w:lvl>
    <w:lvl w:ilvl="3" w:tplc="45EC0486">
      <w:start w:val="1"/>
      <w:numFmt w:val="bullet"/>
      <w:lvlText w:val=""/>
      <w:lvlJc w:val="left"/>
      <w:pPr>
        <w:ind w:left="1080" w:hanging="360"/>
      </w:pPr>
      <w:rPr>
        <w:rFonts w:ascii="Symbol" w:hAnsi="Symbol"/>
      </w:rPr>
    </w:lvl>
    <w:lvl w:ilvl="4" w:tplc="F766A19A">
      <w:start w:val="1"/>
      <w:numFmt w:val="bullet"/>
      <w:lvlText w:val=""/>
      <w:lvlJc w:val="left"/>
      <w:pPr>
        <w:ind w:left="1080" w:hanging="360"/>
      </w:pPr>
      <w:rPr>
        <w:rFonts w:ascii="Symbol" w:hAnsi="Symbol"/>
      </w:rPr>
    </w:lvl>
    <w:lvl w:ilvl="5" w:tplc="438827EC">
      <w:start w:val="1"/>
      <w:numFmt w:val="bullet"/>
      <w:lvlText w:val=""/>
      <w:lvlJc w:val="left"/>
      <w:pPr>
        <w:ind w:left="1080" w:hanging="360"/>
      </w:pPr>
      <w:rPr>
        <w:rFonts w:ascii="Symbol" w:hAnsi="Symbol"/>
      </w:rPr>
    </w:lvl>
    <w:lvl w:ilvl="6" w:tplc="D6C26EEA">
      <w:start w:val="1"/>
      <w:numFmt w:val="bullet"/>
      <w:lvlText w:val=""/>
      <w:lvlJc w:val="left"/>
      <w:pPr>
        <w:ind w:left="1080" w:hanging="360"/>
      </w:pPr>
      <w:rPr>
        <w:rFonts w:ascii="Symbol" w:hAnsi="Symbol"/>
      </w:rPr>
    </w:lvl>
    <w:lvl w:ilvl="7" w:tplc="8B36F7F0">
      <w:start w:val="1"/>
      <w:numFmt w:val="bullet"/>
      <w:lvlText w:val=""/>
      <w:lvlJc w:val="left"/>
      <w:pPr>
        <w:ind w:left="1080" w:hanging="360"/>
      </w:pPr>
      <w:rPr>
        <w:rFonts w:ascii="Symbol" w:hAnsi="Symbol"/>
      </w:rPr>
    </w:lvl>
    <w:lvl w:ilvl="8" w:tplc="51083030">
      <w:start w:val="1"/>
      <w:numFmt w:val="bullet"/>
      <w:lvlText w:val=""/>
      <w:lvlJc w:val="left"/>
      <w:pPr>
        <w:ind w:left="1080" w:hanging="360"/>
      </w:pPr>
      <w:rPr>
        <w:rFonts w:ascii="Symbol" w:hAnsi="Symbol"/>
      </w:rPr>
    </w:lvl>
  </w:abstractNum>
  <w:abstractNum w:abstractNumId="13"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4" w15:restartNumberingAfterBreak="0">
    <w:nsid w:val="35147D9A"/>
    <w:multiLevelType w:val="hybridMultilevel"/>
    <w:tmpl w:val="A4D05950"/>
    <w:lvl w:ilvl="0" w:tplc="D9BE071C">
      <w:start w:val="1"/>
      <w:numFmt w:val="bullet"/>
      <w:lvlText w:val=""/>
      <w:lvlJc w:val="left"/>
      <w:pPr>
        <w:ind w:left="1080" w:hanging="360"/>
      </w:pPr>
      <w:rPr>
        <w:rFonts w:ascii="Symbol" w:hAnsi="Symbol"/>
      </w:rPr>
    </w:lvl>
    <w:lvl w:ilvl="1" w:tplc="15A82E7E">
      <w:start w:val="1"/>
      <w:numFmt w:val="bullet"/>
      <w:lvlText w:val=""/>
      <w:lvlJc w:val="left"/>
      <w:pPr>
        <w:ind w:left="1080" w:hanging="360"/>
      </w:pPr>
      <w:rPr>
        <w:rFonts w:ascii="Symbol" w:hAnsi="Symbol"/>
      </w:rPr>
    </w:lvl>
    <w:lvl w:ilvl="2" w:tplc="0B983612">
      <w:start w:val="1"/>
      <w:numFmt w:val="bullet"/>
      <w:lvlText w:val=""/>
      <w:lvlJc w:val="left"/>
      <w:pPr>
        <w:ind w:left="1080" w:hanging="360"/>
      </w:pPr>
      <w:rPr>
        <w:rFonts w:ascii="Symbol" w:hAnsi="Symbol"/>
      </w:rPr>
    </w:lvl>
    <w:lvl w:ilvl="3" w:tplc="CF9299E8">
      <w:start w:val="1"/>
      <w:numFmt w:val="bullet"/>
      <w:lvlText w:val=""/>
      <w:lvlJc w:val="left"/>
      <w:pPr>
        <w:ind w:left="1080" w:hanging="360"/>
      </w:pPr>
      <w:rPr>
        <w:rFonts w:ascii="Symbol" w:hAnsi="Symbol"/>
      </w:rPr>
    </w:lvl>
    <w:lvl w:ilvl="4" w:tplc="FAF2A4B0">
      <w:start w:val="1"/>
      <w:numFmt w:val="bullet"/>
      <w:lvlText w:val=""/>
      <w:lvlJc w:val="left"/>
      <w:pPr>
        <w:ind w:left="1080" w:hanging="360"/>
      </w:pPr>
      <w:rPr>
        <w:rFonts w:ascii="Symbol" w:hAnsi="Symbol"/>
      </w:rPr>
    </w:lvl>
    <w:lvl w:ilvl="5" w:tplc="A5E6E41A">
      <w:start w:val="1"/>
      <w:numFmt w:val="bullet"/>
      <w:lvlText w:val=""/>
      <w:lvlJc w:val="left"/>
      <w:pPr>
        <w:ind w:left="1080" w:hanging="360"/>
      </w:pPr>
      <w:rPr>
        <w:rFonts w:ascii="Symbol" w:hAnsi="Symbol"/>
      </w:rPr>
    </w:lvl>
    <w:lvl w:ilvl="6" w:tplc="4588EFF0">
      <w:start w:val="1"/>
      <w:numFmt w:val="bullet"/>
      <w:lvlText w:val=""/>
      <w:lvlJc w:val="left"/>
      <w:pPr>
        <w:ind w:left="1080" w:hanging="360"/>
      </w:pPr>
      <w:rPr>
        <w:rFonts w:ascii="Symbol" w:hAnsi="Symbol"/>
      </w:rPr>
    </w:lvl>
    <w:lvl w:ilvl="7" w:tplc="6FAA2F86">
      <w:start w:val="1"/>
      <w:numFmt w:val="bullet"/>
      <w:lvlText w:val=""/>
      <w:lvlJc w:val="left"/>
      <w:pPr>
        <w:ind w:left="1080" w:hanging="360"/>
      </w:pPr>
      <w:rPr>
        <w:rFonts w:ascii="Symbol" w:hAnsi="Symbol"/>
      </w:rPr>
    </w:lvl>
    <w:lvl w:ilvl="8" w:tplc="93022EE4">
      <w:start w:val="1"/>
      <w:numFmt w:val="bullet"/>
      <w:lvlText w:val=""/>
      <w:lvlJc w:val="left"/>
      <w:pPr>
        <w:ind w:left="1080" w:hanging="360"/>
      </w:pPr>
      <w:rPr>
        <w:rFonts w:ascii="Symbol" w:hAnsi="Symbol"/>
      </w:rPr>
    </w:lvl>
  </w:abstractNum>
  <w:abstractNum w:abstractNumId="15"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80830CB"/>
    <w:multiLevelType w:val="hybridMultilevel"/>
    <w:tmpl w:val="E35A7C94"/>
    <w:lvl w:ilvl="0" w:tplc="F44456F8">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48855D85"/>
    <w:multiLevelType w:val="hybridMultilevel"/>
    <w:tmpl w:val="E12267D2"/>
    <w:lvl w:ilvl="0" w:tplc="5BC2BB84">
      <w:start w:val="1"/>
      <w:numFmt w:val="bullet"/>
      <w:lvlText w:val=""/>
      <w:lvlJc w:val="left"/>
      <w:pPr>
        <w:ind w:left="1080" w:hanging="360"/>
      </w:pPr>
      <w:rPr>
        <w:rFonts w:ascii="Symbol" w:hAnsi="Symbol"/>
      </w:rPr>
    </w:lvl>
    <w:lvl w:ilvl="1" w:tplc="62C4881E">
      <w:start w:val="1"/>
      <w:numFmt w:val="bullet"/>
      <w:lvlText w:val=""/>
      <w:lvlJc w:val="left"/>
      <w:pPr>
        <w:ind w:left="1080" w:hanging="360"/>
      </w:pPr>
      <w:rPr>
        <w:rFonts w:ascii="Symbol" w:hAnsi="Symbol"/>
      </w:rPr>
    </w:lvl>
    <w:lvl w:ilvl="2" w:tplc="803ABEB2">
      <w:start w:val="1"/>
      <w:numFmt w:val="bullet"/>
      <w:lvlText w:val=""/>
      <w:lvlJc w:val="left"/>
      <w:pPr>
        <w:ind w:left="1080" w:hanging="360"/>
      </w:pPr>
      <w:rPr>
        <w:rFonts w:ascii="Symbol" w:hAnsi="Symbol"/>
      </w:rPr>
    </w:lvl>
    <w:lvl w:ilvl="3" w:tplc="24680BAA">
      <w:start w:val="1"/>
      <w:numFmt w:val="bullet"/>
      <w:lvlText w:val=""/>
      <w:lvlJc w:val="left"/>
      <w:pPr>
        <w:ind w:left="1080" w:hanging="360"/>
      </w:pPr>
      <w:rPr>
        <w:rFonts w:ascii="Symbol" w:hAnsi="Symbol"/>
      </w:rPr>
    </w:lvl>
    <w:lvl w:ilvl="4" w:tplc="B8CE4F9E">
      <w:start w:val="1"/>
      <w:numFmt w:val="bullet"/>
      <w:lvlText w:val=""/>
      <w:lvlJc w:val="left"/>
      <w:pPr>
        <w:ind w:left="1080" w:hanging="360"/>
      </w:pPr>
      <w:rPr>
        <w:rFonts w:ascii="Symbol" w:hAnsi="Symbol"/>
      </w:rPr>
    </w:lvl>
    <w:lvl w:ilvl="5" w:tplc="CC44F474">
      <w:start w:val="1"/>
      <w:numFmt w:val="bullet"/>
      <w:lvlText w:val=""/>
      <w:lvlJc w:val="left"/>
      <w:pPr>
        <w:ind w:left="1080" w:hanging="360"/>
      </w:pPr>
      <w:rPr>
        <w:rFonts w:ascii="Symbol" w:hAnsi="Symbol"/>
      </w:rPr>
    </w:lvl>
    <w:lvl w:ilvl="6" w:tplc="897492B6">
      <w:start w:val="1"/>
      <w:numFmt w:val="bullet"/>
      <w:lvlText w:val=""/>
      <w:lvlJc w:val="left"/>
      <w:pPr>
        <w:ind w:left="1080" w:hanging="360"/>
      </w:pPr>
      <w:rPr>
        <w:rFonts w:ascii="Symbol" w:hAnsi="Symbol"/>
      </w:rPr>
    </w:lvl>
    <w:lvl w:ilvl="7" w:tplc="F1828A12">
      <w:start w:val="1"/>
      <w:numFmt w:val="bullet"/>
      <w:lvlText w:val=""/>
      <w:lvlJc w:val="left"/>
      <w:pPr>
        <w:ind w:left="1080" w:hanging="360"/>
      </w:pPr>
      <w:rPr>
        <w:rFonts w:ascii="Symbol" w:hAnsi="Symbol"/>
      </w:rPr>
    </w:lvl>
    <w:lvl w:ilvl="8" w:tplc="52C6E2F2">
      <w:start w:val="1"/>
      <w:numFmt w:val="bullet"/>
      <w:lvlText w:val=""/>
      <w:lvlJc w:val="left"/>
      <w:pPr>
        <w:ind w:left="1080" w:hanging="360"/>
      </w:pPr>
      <w:rPr>
        <w:rFonts w:ascii="Symbol" w:hAnsi="Symbol"/>
      </w:rPr>
    </w:lvl>
  </w:abstractNum>
  <w:abstractNum w:abstractNumId="22" w15:restartNumberingAfterBreak="0">
    <w:nsid w:val="48CD2865"/>
    <w:multiLevelType w:val="hybridMultilevel"/>
    <w:tmpl w:val="DE201A76"/>
    <w:lvl w:ilvl="0" w:tplc="7028376E">
      <w:start w:val="1"/>
      <w:numFmt w:val="bullet"/>
      <w:lvlText w:val=""/>
      <w:lvlJc w:val="left"/>
      <w:pPr>
        <w:ind w:left="1080" w:hanging="360"/>
      </w:pPr>
      <w:rPr>
        <w:rFonts w:ascii="Symbol" w:hAnsi="Symbol"/>
      </w:rPr>
    </w:lvl>
    <w:lvl w:ilvl="1" w:tplc="DE4235AA">
      <w:start w:val="1"/>
      <w:numFmt w:val="bullet"/>
      <w:lvlText w:val=""/>
      <w:lvlJc w:val="left"/>
      <w:pPr>
        <w:ind w:left="1080" w:hanging="360"/>
      </w:pPr>
      <w:rPr>
        <w:rFonts w:ascii="Symbol" w:hAnsi="Symbol"/>
      </w:rPr>
    </w:lvl>
    <w:lvl w:ilvl="2" w:tplc="20D2712C">
      <w:start w:val="1"/>
      <w:numFmt w:val="bullet"/>
      <w:lvlText w:val=""/>
      <w:lvlJc w:val="left"/>
      <w:pPr>
        <w:ind w:left="1080" w:hanging="360"/>
      </w:pPr>
      <w:rPr>
        <w:rFonts w:ascii="Symbol" w:hAnsi="Symbol"/>
      </w:rPr>
    </w:lvl>
    <w:lvl w:ilvl="3" w:tplc="2398D8CC">
      <w:start w:val="1"/>
      <w:numFmt w:val="bullet"/>
      <w:lvlText w:val=""/>
      <w:lvlJc w:val="left"/>
      <w:pPr>
        <w:ind w:left="1080" w:hanging="360"/>
      </w:pPr>
      <w:rPr>
        <w:rFonts w:ascii="Symbol" w:hAnsi="Symbol"/>
      </w:rPr>
    </w:lvl>
    <w:lvl w:ilvl="4" w:tplc="B964E160">
      <w:start w:val="1"/>
      <w:numFmt w:val="bullet"/>
      <w:lvlText w:val=""/>
      <w:lvlJc w:val="left"/>
      <w:pPr>
        <w:ind w:left="1080" w:hanging="360"/>
      </w:pPr>
      <w:rPr>
        <w:rFonts w:ascii="Symbol" w:hAnsi="Symbol"/>
      </w:rPr>
    </w:lvl>
    <w:lvl w:ilvl="5" w:tplc="C5B65CE0">
      <w:start w:val="1"/>
      <w:numFmt w:val="bullet"/>
      <w:lvlText w:val=""/>
      <w:lvlJc w:val="left"/>
      <w:pPr>
        <w:ind w:left="1080" w:hanging="360"/>
      </w:pPr>
      <w:rPr>
        <w:rFonts w:ascii="Symbol" w:hAnsi="Symbol"/>
      </w:rPr>
    </w:lvl>
    <w:lvl w:ilvl="6" w:tplc="9440C618">
      <w:start w:val="1"/>
      <w:numFmt w:val="bullet"/>
      <w:lvlText w:val=""/>
      <w:lvlJc w:val="left"/>
      <w:pPr>
        <w:ind w:left="1080" w:hanging="360"/>
      </w:pPr>
      <w:rPr>
        <w:rFonts w:ascii="Symbol" w:hAnsi="Symbol"/>
      </w:rPr>
    </w:lvl>
    <w:lvl w:ilvl="7" w:tplc="3B326298">
      <w:start w:val="1"/>
      <w:numFmt w:val="bullet"/>
      <w:lvlText w:val=""/>
      <w:lvlJc w:val="left"/>
      <w:pPr>
        <w:ind w:left="1080" w:hanging="360"/>
      </w:pPr>
      <w:rPr>
        <w:rFonts w:ascii="Symbol" w:hAnsi="Symbol"/>
      </w:rPr>
    </w:lvl>
    <w:lvl w:ilvl="8" w:tplc="FFE0D17C">
      <w:start w:val="1"/>
      <w:numFmt w:val="bullet"/>
      <w:lvlText w:val=""/>
      <w:lvlJc w:val="left"/>
      <w:pPr>
        <w:ind w:left="1080" w:hanging="360"/>
      </w:pPr>
      <w:rPr>
        <w:rFonts w:ascii="Symbol" w:hAnsi="Symbol"/>
      </w:rPr>
    </w:lvl>
  </w:abstractNum>
  <w:abstractNum w:abstractNumId="23" w15:restartNumberingAfterBreak="0">
    <w:nsid w:val="4BFE0206"/>
    <w:multiLevelType w:val="hybridMultilevel"/>
    <w:tmpl w:val="B22A83FC"/>
    <w:lvl w:ilvl="0" w:tplc="18090013">
      <w:start w:val="1"/>
      <w:numFmt w:val="upperRoman"/>
      <w:lvlText w:val="%1."/>
      <w:lvlJc w:val="right"/>
      <w:pPr>
        <w:ind w:left="643" w:hanging="360"/>
      </w:pPr>
    </w:lvl>
    <w:lvl w:ilvl="1" w:tplc="18090019" w:tentative="1">
      <w:start w:val="1"/>
      <w:numFmt w:val="lowerLetter"/>
      <w:lvlText w:val="%2."/>
      <w:lvlJc w:val="left"/>
      <w:pPr>
        <w:ind w:left="653" w:hanging="360"/>
      </w:pPr>
    </w:lvl>
    <w:lvl w:ilvl="2" w:tplc="1809001B" w:tentative="1">
      <w:start w:val="1"/>
      <w:numFmt w:val="lowerRoman"/>
      <w:lvlText w:val="%3."/>
      <w:lvlJc w:val="right"/>
      <w:pPr>
        <w:ind w:left="1373" w:hanging="180"/>
      </w:pPr>
    </w:lvl>
    <w:lvl w:ilvl="3" w:tplc="1809000F" w:tentative="1">
      <w:start w:val="1"/>
      <w:numFmt w:val="decimal"/>
      <w:lvlText w:val="%4."/>
      <w:lvlJc w:val="left"/>
      <w:pPr>
        <w:ind w:left="2093" w:hanging="360"/>
      </w:pPr>
    </w:lvl>
    <w:lvl w:ilvl="4" w:tplc="18090019" w:tentative="1">
      <w:start w:val="1"/>
      <w:numFmt w:val="lowerLetter"/>
      <w:lvlText w:val="%5."/>
      <w:lvlJc w:val="left"/>
      <w:pPr>
        <w:ind w:left="2813" w:hanging="360"/>
      </w:pPr>
    </w:lvl>
    <w:lvl w:ilvl="5" w:tplc="1809001B" w:tentative="1">
      <w:start w:val="1"/>
      <w:numFmt w:val="lowerRoman"/>
      <w:lvlText w:val="%6."/>
      <w:lvlJc w:val="right"/>
      <w:pPr>
        <w:ind w:left="3533" w:hanging="180"/>
      </w:pPr>
    </w:lvl>
    <w:lvl w:ilvl="6" w:tplc="1809000F" w:tentative="1">
      <w:start w:val="1"/>
      <w:numFmt w:val="decimal"/>
      <w:lvlText w:val="%7."/>
      <w:lvlJc w:val="left"/>
      <w:pPr>
        <w:ind w:left="4253" w:hanging="360"/>
      </w:pPr>
    </w:lvl>
    <w:lvl w:ilvl="7" w:tplc="18090019" w:tentative="1">
      <w:start w:val="1"/>
      <w:numFmt w:val="lowerLetter"/>
      <w:lvlText w:val="%8."/>
      <w:lvlJc w:val="left"/>
      <w:pPr>
        <w:ind w:left="4973" w:hanging="360"/>
      </w:pPr>
    </w:lvl>
    <w:lvl w:ilvl="8" w:tplc="1809001B" w:tentative="1">
      <w:start w:val="1"/>
      <w:numFmt w:val="lowerRoman"/>
      <w:lvlText w:val="%9."/>
      <w:lvlJc w:val="right"/>
      <w:pPr>
        <w:ind w:left="5693" w:hanging="180"/>
      </w:pPr>
    </w:lvl>
  </w:abstractNum>
  <w:abstractNum w:abstractNumId="24"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59B5CB5"/>
    <w:multiLevelType w:val="hybridMultilevel"/>
    <w:tmpl w:val="C5748E92"/>
    <w:lvl w:ilvl="0" w:tplc="E2161020">
      <w:start w:val="1"/>
      <w:numFmt w:val="bullet"/>
      <w:lvlText w:val=""/>
      <w:lvlJc w:val="left"/>
      <w:pPr>
        <w:ind w:left="1080" w:hanging="360"/>
      </w:pPr>
      <w:rPr>
        <w:rFonts w:ascii="Symbol" w:hAnsi="Symbol"/>
      </w:rPr>
    </w:lvl>
    <w:lvl w:ilvl="1" w:tplc="0FAA5B6C">
      <w:start w:val="1"/>
      <w:numFmt w:val="bullet"/>
      <w:lvlText w:val=""/>
      <w:lvlJc w:val="left"/>
      <w:pPr>
        <w:ind w:left="1080" w:hanging="360"/>
      </w:pPr>
      <w:rPr>
        <w:rFonts w:ascii="Symbol" w:hAnsi="Symbol"/>
      </w:rPr>
    </w:lvl>
    <w:lvl w:ilvl="2" w:tplc="CC8490D0">
      <w:start w:val="1"/>
      <w:numFmt w:val="bullet"/>
      <w:lvlText w:val=""/>
      <w:lvlJc w:val="left"/>
      <w:pPr>
        <w:ind w:left="1080" w:hanging="360"/>
      </w:pPr>
      <w:rPr>
        <w:rFonts w:ascii="Symbol" w:hAnsi="Symbol"/>
      </w:rPr>
    </w:lvl>
    <w:lvl w:ilvl="3" w:tplc="F5566F8C">
      <w:start w:val="1"/>
      <w:numFmt w:val="bullet"/>
      <w:lvlText w:val=""/>
      <w:lvlJc w:val="left"/>
      <w:pPr>
        <w:ind w:left="1080" w:hanging="360"/>
      </w:pPr>
      <w:rPr>
        <w:rFonts w:ascii="Symbol" w:hAnsi="Symbol"/>
      </w:rPr>
    </w:lvl>
    <w:lvl w:ilvl="4" w:tplc="DA3CE014">
      <w:start w:val="1"/>
      <w:numFmt w:val="bullet"/>
      <w:lvlText w:val=""/>
      <w:lvlJc w:val="left"/>
      <w:pPr>
        <w:ind w:left="1080" w:hanging="360"/>
      </w:pPr>
      <w:rPr>
        <w:rFonts w:ascii="Symbol" w:hAnsi="Symbol"/>
      </w:rPr>
    </w:lvl>
    <w:lvl w:ilvl="5" w:tplc="F1448038">
      <w:start w:val="1"/>
      <w:numFmt w:val="bullet"/>
      <w:lvlText w:val=""/>
      <w:lvlJc w:val="left"/>
      <w:pPr>
        <w:ind w:left="1080" w:hanging="360"/>
      </w:pPr>
      <w:rPr>
        <w:rFonts w:ascii="Symbol" w:hAnsi="Symbol"/>
      </w:rPr>
    </w:lvl>
    <w:lvl w:ilvl="6" w:tplc="464AF958">
      <w:start w:val="1"/>
      <w:numFmt w:val="bullet"/>
      <w:lvlText w:val=""/>
      <w:lvlJc w:val="left"/>
      <w:pPr>
        <w:ind w:left="1080" w:hanging="360"/>
      </w:pPr>
      <w:rPr>
        <w:rFonts w:ascii="Symbol" w:hAnsi="Symbol"/>
      </w:rPr>
    </w:lvl>
    <w:lvl w:ilvl="7" w:tplc="6EB0DA7A">
      <w:start w:val="1"/>
      <w:numFmt w:val="bullet"/>
      <w:lvlText w:val=""/>
      <w:lvlJc w:val="left"/>
      <w:pPr>
        <w:ind w:left="1080" w:hanging="360"/>
      </w:pPr>
      <w:rPr>
        <w:rFonts w:ascii="Symbol" w:hAnsi="Symbol"/>
      </w:rPr>
    </w:lvl>
    <w:lvl w:ilvl="8" w:tplc="F6C6A2C8">
      <w:start w:val="1"/>
      <w:numFmt w:val="bullet"/>
      <w:lvlText w:val=""/>
      <w:lvlJc w:val="left"/>
      <w:pPr>
        <w:ind w:left="1080" w:hanging="360"/>
      </w:pPr>
      <w:rPr>
        <w:rFonts w:ascii="Symbol" w:hAnsi="Symbol"/>
      </w:rPr>
    </w:lvl>
  </w:abstractNum>
  <w:abstractNum w:abstractNumId="28"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9" w15:restartNumberingAfterBreak="0">
    <w:nsid w:val="60E17400"/>
    <w:multiLevelType w:val="hybridMultilevel"/>
    <w:tmpl w:val="D48A4A3E"/>
    <w:lvl w:ilvl="0" w:tplc="88B055E6">
      <w:start w:val="1"/>
      <w:numFmt w:val="decimal"/>
      <w:lvlText w:val="%1)"/>
      <w:lvlJc w:val="left"/>
      <w:pPr>
        <w:ind w:left="1020" w:hanging="360"/>
      </w:pPr>
    </w:lvl>
    <w:lvl w:ilvl="1" w:tplc="EBA4AD38">
      <w:start w:val="1"/>
      <w:numFmt w:val="decimal"/>
      <w:lvlText w:val="%2)"/>
      <w:lvlJc w:val="left"/>
      <w:pPr>
        <w:ind w:left="1020" w:hanging="360"/>
      </w:pPr>
    </w:lvl>
    <w:lvl w:ilvl="2" w:tplc="D0446AFE">
      <w:start w:val="1"/>
      <w:numFmt w:val="decimal"/>
      <w:lvlText w:val="%3)"/>
      <w:lvlJc w:val="left"/>
      <w:pPr>
        <w:ind w:left="1020" w:hanging="360"/>
      </w:pPr>
    </w:lvl>
    <w:lvl w:ilvl="3" w:tplc="EACC3A4C">
      <w:start w:val="1"/>
      <w:numFmt w:val="decimal"/>
      <w:lvlText w:val="%4)"/>
      <w:lvlJc w:val="left"/>
      <w:pPr>
        <w:ind w:left="1020" w:hanging="360"/>
      </w:pPr>
    </w:lvl>
    <w:lvl w:ilvl="4" w:tplc="0090DB9C">
      <w:start w:val="1"/>
      <w:numFmt w:val="decimal"/>
      <w:lvlText w:val="%5)"/>
      <w:lvlJc w:val="left"/>
      <w:pPr>
        <w:ind w:left="1020" w:hanging="360"/>
      </w:pPr>
    </w:lvl>
    <w:lvl w:ilvl="5" w:tplc="A77CBB82">
      <w:start w:val="1"/>
      <w:numFmt w:val="decimal"/>
      <w:lvlText w:val="%6)"/>
      <w:lvlJc w:val="left"/>
      <w:pPr>
        <w:ind w:left="1020" w:hanging="360"/>
      </w:pPr>
    </w:lvl>
    <w:lvl w:ilvl="6" w:tplc="1F94FC50">
      <w:start w:val="1"/>
      <w:numFmt w:val="decimal"/>
      <w:lvlText w:val="%7)"/>
      <w:lvlJc w:val="left"/>
      <w:pPr>
        <w:ind w:left="1020" w:hanging="360"/>
      </w:pPr>
    </w:lvl>
    <w:lvl w:ilvl="7" w:tplc="1006F2A6">
      <w:start w:val="1"/>
      <w:numFmt w:val="decimal"/>
      <w:lvlText w:val="%8)"/>
      <w:lvlJc w:val="left"/>
      <w:pPr>
        <w:ind w:left="1020" w:hanging="360"/>
      </w:pPr>
    </w:lvl>
    <w:lvl w:ilvl="8" w:tplc="76D2ED44">
      <w:start w:val="1"/>
      <w:numFmt w:val="decimal"/>
      <w:lvlText w:val="%9)"/>
      <w:lvlJc w:val="left"/>
      <w:pPr>
        <w:ind w:left="1020" w:hanging="360"/>
      </w:pPr>
    </w:lvl>
  </w:abstractNum>
  <w:abstractNum w:abstractNumId="30"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6D936691"/>
    <w:multiLevelType w:val="hybridMultilevel"/>
    <w:tmpl w:val="07A0CD2C"/>
    <w:lvl w:ilvl="0" w:tplc="8ADEF144">
      <w:start w:val="1"/>
      <w:numFmt w:val="bullet"/>
      <w:lvlText w:val=""/>
      <w:lvlJc w:val="left"/>
      <w:pPr>
        <w:ind w:left="1080" w:hanging="360"/>
      </w:pPr>
      <w:rPr>
        <w:rFonts w:ascii="Symbol" w:hAnsi="Symbol"/>
      </w:rPr>
    </w:lvl>
    <w:lvl w:ilvl="1" w:tplc="783ADA94">
      <w:start w:val="1"/>
      <w:numFmt w:val="bullet"/>
      <w:lvlText w:val=""/>
      <w:lvlJc w:val="left"/>
      <w:pPr>
        <w:ind w:left="1080" w:hanging="360"/>
      </w:pPr>
      <w:rPr>
        <w:rFonts w:ascii="Symbol" w:hAnsi="Symbol"/>
      </w:rPr>
    </w:lvl>
    <w:lvl w:ilvl="2" w:tplc="040CC256">
      <w:start w:val="1"/>
      <w:numFmt w:val="bullet"/>
      <w:lvlText w:val=""/>
      <w:lvlJc w:val="left"/>
      <w:pPr>
        <w:ind w:left="1080" w:hanging="360"/>
      </w:pPr>
      <w:rPr>
        <w:rFonts w:ascii="Symbol" w:hAnsi="Symbol"/>
      </w:rPr>
    </w:lvl>
    <w:lvl w:ilvl="3" w:tplc="D2382444">
      <w:start w:val="1"/>
      <w:numFmt w:val="bullet"/>
      <w:lvlText w:val=""/>
      <w:lvlJc w:val="left"/>
      <w:pPr>
        <w:ind w:left="1080" w:hanging="360"/>
      </w:pPr>
      <w:rPr>
        <w:rFonts w:ascii="Symbol" w:hAnsi="Symbol"/>
      </w:rPr>
    </w:lvl>
    <w:lvl w:ilvl="4" w:tplc="A76E9C98">
      <w:start w:val="1"/>
      <w:numFmt w:val="bullet"/>
      <w:lvlText w:val=""/>
      <w:lvlJc w:val="left"/>
      <w:pPr>
        <w:ind w:left="1080" w:hanging="360"/>
      </w:pPr>
      <w:rPr>
        <w:rFonts w:ascii="Symbol" w:hAnsi="Symbol"/>
      </w:rPr>
    </w:lvl>
    <w:lvl w:ilvl="5" w:tplc="0CEE4C26">
      <w:start w:val="1"/>
      <w:numFmt w:val="bullet"/>
      <w:lvlText w:val=""/>
      <w:lvlJc w:val="left"/>
      <w:pPr>
        <w:ind w:left="1080" w:hanging="360"/>
      </w:pPr>
      <w:rPr>
        <w:rFonts w:ascii="Symbol" w:hAnsi="Symbol"/>
      </w:rPr>
    </w:lvl>
    <w:lvl w:ilvl="6" w:tplc="AFC6F2DC">
      <w:start w:val="1"/>
      <w:numFmt w:val="bullet"/>
      <w:lvlText w:val=""/>
      <w:lvlJc w:val="left"/>
      <w:pPr>
        <w:ind w:left="1080" w:hanging="360"/>
      </w:pPr>
      <w:rPr>
        <w:rFonts w:ascii="Symbol" w:hAnsi="Symbol"/>
      </w:rPr>
    </w:lvl>
    <w:lvl w:ilvl="7" w:tplc="A38805AA">
      <w:start w:val="1"/>
      <w:numFmt w:val="bullet"/>
      <w:lvlText w:val=""/>
      <w:lvlJc w:val="left"/>
      <w:pPr>
        <w:ind w:left="1080" w:hanging="360"/>
      </w:pPr>
      <w:rPr>
        <w:rFonts w:ascii="Symbol" w:hAnsi="Symbol"/>
      </w:rPr>
    </w:lvl>
    <w:lvl w:ilvl="8" w:tplc="A90EFBA8">
      <w:start w:val="1"/>
      <w:numFmt w:val="bullet"/>
      <w:lvlText w:val=""/>
      <w:lvlJc w:val="left"/>
      <w:pPr>
        <w:ind w:left="1080" w:hanging="360"/>
      </w:pPr>
      <w:rPr>
        <w:rFonts w:ascii="Symbol" w:hAnsi="Symbol"/>
      </w:rPr>
    </w:lvl>
  </w:abstractNum>
  <w:abstractNum w:abstractNumId="32"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4"/>
  </w:num>
  <w:num w:numId="2">
    <w:abstractNumId w:val="11"/>
  </w:num>
  <w:num w:numId="3">
    <w:abstractNumId w:val="10"/>
  </w:num>
  <w:num w:numId="4">
    <w:abstractNumId w:val="33"/>
  </w:num>
  <w:num w:numId="5">
    <w:abstractNumId w:val="24"/>
  </w:num>
  <w:num w:numId="6">
    <w:abstractNumId w:val="18"/>
  </w:num>
  <w:num w:numId="7">
    <w:abstractNumId w:val="9"/>
  </w:num>
  <w:num w:numId="8">
    <w:abstractNumId w:val="5"/>
  </w:num>
  <w:num w:numId="9">
    <w:abstractNumId w:val="4"/>
  </w:num>
  <w:num w:numId="10">
    <w:abstractNumId w:val="3"/>
  </w:num>
  <w:num w:numId="11">
    <w:abstractNumId w:val="19"/>
  </w:num>
  <w:num w:numId="12">
    <w:abstractNumId w:val="7"/>
  </w:num>
  <w:num w:numId="13">
    <w:abstractNumId w:val="2"/>
  </w:num>
  <w:num w:numId="14">
    <w:abstractNumId w:val="30"/>
  </w:num>
  <w:num w:numId="15">
    <w:abstractNumId w:val="26"/>
  </w:num>
  <w:num w:numId="16">
    <w:abstractNumId w:val="16"/>
  </w:num>
  <w:num w:numId="17">
    <w:abstractNumId w:val="8"/>
  </w:num>
  <w:num w:numId="18">
    <w:abstractNumId w:val="15"/>
  </w:num>
  <w:num w:numId="19">
    <w:abstractNumId w:val="0"/>
  </w:num>
  <w:num w:numId="20">
    <w:abstractNumId w:val="13"/>
  </w:num>
  <w:num w:numId="21">
    <w:abstractNumId w:val="6"/>
  </w:num>
  <w:num w:numId="22">
    <w:abstractNumId w:val="17"/>
  </w:num>
  <w:num w:numId="23">
    <w:abstractNumId w:val="32"/>
  </w:num>
  <w:num w:numId="24">
    <w:abstractNumId w:val="25"/>
  </w:num>
  <w:num w:numId="25">
    <w:abstractNumId w:val="28"/>
  </w:num>
  <w:num w:numId="26">
    <w:abstractNumId w:val="1"/>
  </w:num>
  <w:num w:numId="27">
    <w:abstractNumId w:val="27"/>
  </w:num>
  <w:num w:numId="28">
    <w:abstractNumId w:val="12"/>
  </w:num>
  <w:num w:numId="29">
    <w:abstractNumId w:val="21"/>
  </w:num>
  <w:num w:numId="30">
    <w:abstractNumId w:val="22"/>
  </w:num>
  <w:num w:numId="31">
    <w:abstractNumId w:val="31"/>
  </w:num>
  <w:num w:numId="32">
    <w:abstractNumId w:val="23"/>
  </w:num>
  <w:num w:numId="33">
    <w:abstractNumId w:val="20"/>
  </w:num>
  <w:num w:numId="34">
    <w:abstractNumId w:val="14"/>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EC997D36-162A-4C9B-9C5E-E35B7A2FDA90"/>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1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d__x000d__x000b_Country Chapter on the rule of law situation in Hungary"/>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01AA"/>
    <w:rsid w:val="000005BE"/>
    <w:rsid w:val="00000E0B"/>
    <w:rsid w:val="0000112E"/>
    <w:rsid w:val="000012A0"/>
    <w:rsid w:val="00001563"/>
    <w:rsid w:val="00001970"/>
    <w:rsid w:val="00001BBD"/>
    <w:rsid w:val="0000213F"/>
    <w:rsid w:val="000023CB"/>
    <w:rsid w:val="00002947"/>
    <w:rsid w:val="00002F3B"/>
    <w:rsid w:val="00003803"/>
    <w:rsid w:val="00003849"/>
    <w:rsid w:val="00003EA9"/>
    <w:rsid w:val="000045C0"/>
    <w:rsid w:val="00004B31"/>
    <w:rsid w:val="00004C2F"/>
    <w:rsid w:val="00004E6E"/>
    <w:rsid w:val="000050C4"/>
    <w:rsid w:val="000056F9"/>
    <w:rsid w:val="00005C8D"/>
    <w:rsid w:val="00005E41"/>
    <w:rsid w:val="00005E59"/>
    <w:rsid w:val="00005FBB"/>
    <w:rsid w:val="00006842"/>
    <w:rsid w:val="00006AA2"/>
    <w:rsid w:val="00007094"/>
    <w:rsid w:val="00007394"/>
    <w:rsid w:val="00007978"/>
    <w:rsid w:val="00007C1C"/>
    <w:rsid w:val="000104E9"/>
    <w:rsid w:val="0001098E"/>
    <w:rsid w:val="00010EF7"/>
    <w:rsid w:val="00011207"/>
    <w:rsid w:val="000114B7"/>
    <w:rsid w:val="000114E7"/>
    <w:rsid w:val="00011689"/>
    <w:rsid w:val="000117FA"/>
    <w:rsid w:val="000119BE"/>
    <w:rsid w:val="000119E0"/>
    <w:rsid w:val="00011B6E"/>
    <w:rsid w:val="00011C80"/>
    <w:rsid w:val="00011FE7"/>
    <w:rsid w:val="00012486"/>
    <w:rsid w:val="00012542"/>
    <w:rsid w:val="0001276A"/>
    <w:rsid w:val="00012C52"/>
    <w:rsid w:val="000132D1"/>
    <w:rsid w:val="00013658"/>
    <w:rsid w:val="00013F77"/>
    <w:rsid w:val="0001458A"/>
    <w:rsid w:val="00014753"/>
    <w:rsid w:val="000147A7"/>
    <w:rsid w:val="00014FC3"/>
    <w:rsid w:val="00015071"/>
    <w:rsid w:val="00015863"/>
    <w:rsid w:val="00015AB6"/>
    <w:rsid w:val="00015CA7"/>
    <w:rsid w:val="000162A9"/>
    <w:rsid w:val="000165F8"/>
    <w:rsid w:val="00016981"/>
    <w:rsid w:val="00016A12"/>
    <w:rsid w:val="00016B26"/>
    <w:rsid w:val="00016DC2"/>
    <w:rsid w:val="0001723E"/>
    <w:rsid w:val="00017618"/>
    <w:rsid w:val="000177C0"/>
    <w:rsid w:val="00017ACD"/>
    <w:rsid w:val="00020C95"/>
    <w:rsid w:val="00020F21"/>
    <w:rsid w:val="000214E4"/>
    <w:rsid w:val="00021C82"/>
    <w:rsid w:val="00021D7F"/>
    <w:rsid w:val="00021F12"/>
    <w:rsid w:val="00022726"/>
    <w:rsid w:val="00022867"/>
    <w:rsid w:val="00022953"/>
    <w:rsid w:val="00022988"/>
    <w:rsid w:val="00023396"/>
    <w:rsid w:val="000233E3"/>
    <w:rsid w:val="00023AEE"/>
    <w:rsid w:val="00023AFA"/>
    <w:rsid w:val="00024194"/>
    <w:rsid w:val="00024302"/>
    <w:rsid w:val="00024A9D"/>
    <w:rsid w:val="00024AF9"/>
    <w:rsid w:val="000251B5"/>
    <w:rsid w:val="000254E2"/>
    <w:rsid w:val="000254F6"/>
    <w:rsid w:val="0002576F"/>
    <w:rsid w:val="00025B57"/>
    <w:rsid w:val="00025CC4"/>
    <w:rsid w:val="00025EB1"/>
    <w:rsid w:val="00025FF4"/>
    <w:rsid w:val="00026A8C"/>
    <w:rsid w:val="00026B78"/>
    <w:rsid w:val="00026C32"/>
    <w:rsid w:val="00027060"/>
    <w:rsid w:val="00027184"/>
    <w:rsid w:val="00027344"/>
    <w:rsid w:val="0002743A"/>
    <w:rsid w:val="000278DD"/>
    <w:rsid w:val="00027B23"/>
    <w:rsid w:val="00027C05"/>
    <w:rsid w:val="00027CC6"/>
    <w:rsid w:val="00027EB6"/>
    <w:rsid w:val="000302D7"/>
    <w:rsid w:val="0003036F"/>
    <w:rsid w:val="000303FC"/>
    <w:rsid w:val="000305D5"/>
    <w:rsid w:val="00030A7B"/>
    <w:rsid w:val="0003122C"/>
    <w:rsid w:val="0003159A"/>
    <w:rsid w:val="00031668"/>
    <w:rsid w:val="0003197F"/>
    <w:rsid w:val="00031BCE"/>
    <w:rsid w:val="00031EA6"/>
    <w:rsid w:val="00032076"/>
    <w:rsid w:val="000322DE"/>
    <w:rsid w:val="000324F9"/>
    <w:rsid w:val="00032687"/>
    <w:rsid w:val="00032A3D"/>
    <w:rsid w:val="0003328B"/>
    <w:rsid w:val="0003331D"/>
    <w:rsid w:val="0003371E"/>
    <w:rsid w:val="0003372C"/>
    <w:rsid w:val="0003386B"/>
    <w:rsid w:val="00033A3B"/>
    <w:rsid w:val="00033B84"/>
    <w:rsid w:val="0003414C"/>
    <w:rsid w:val="000341FE"/>
    <w:rsid w:val="00034B9E"/>
    <w:rsid w:val="00034F42"/>
    <w:rsid w:val="00035319"/>
    <w:rsid w:val="00035B45"/>
    <w:rsid w:val="00035DB4"/>
    <w:rsid w:val="00035FC4"/>
    <w:rsid w:val="00036A2D"/>
    <w:rsid w:val="00036AE7"/>
    <w:rsid w:val="0003792D"/>
    <w:rsid w:val="00037BD5"/>
    <w:rsid w:val="00037CB3"/>
    <w:rsid w:val="000401CB"/>
    <w:rsid w:val="00040377"/>
    <w:rsid w:val="0004045E"/>
    <w:rsid w:val="00040AAE"/>
    <w:rsid w:val="00040B37"/>
    <w:rsid w:val="00040E52"/>
    <w:rsid w:val="00041362"/>
    <w:rsid w:val="0004225B"/>
    <w:rsid w:val="00042646"/>
    <w:rsid w:val="000429AD"/>
    <w:rsid w:val="00042A49"/>
    <w:rsid w:val="00042CFF"/>
    <w:rsid w:val="0004319D"/>
    <w:rsid w:val="00043455"/>
    <w:rsid w:val="0004361A"/>
    <w:rsid w:val="00043A2A"/>
    <w:rsid w:val="00044668"/>
    <w:rsid w:val="00044755"/>
    <w:rsid w:val="00044FC5"/>
    <w:rsid w:val="00045216"/>
    <w:rsid w:val="00045898"/>
    <w:rsid w:val="000464C1"/>
    <w:rsid w:val="000472F9"/>
    <w:rsid w:val="00047FF4"/>
    <w:rsid w:val="00050920"/>
    <w:rsid w:val="00050B54"/>
    <w:rsid w:val="00050C8E"/>
    <w:rsid w:val="000511CD"/>
    <w:rsid w:val="00051B57"/>
    <w:rsid w:val="00051C07"/>
    <w:rsid w:val="00051EEF"/>
    <w:rsid w:val="00052258"/>
    <w:rsid w:val="000522FC"/>
    <w:rsid w:val="000529E5"/>
    <w:rsid w:val="00053198"/>
    <w:rsid w:val="0005320E"/>
    <w:rsid w:val="00053F67"/>
    <w:rsid w:val="000545FE"/>
    <w:rsid w:val="00055ED2"/>
    <w:rsid w:val="000564D4"/>
    <w:rsid w:val="00056CC8"/>
    <w:rsid w:val="00056CD2"/>
    <w:rsid w:val="00056CDE"/>
    <w:rsid w:val="00056DFE"/>
    <w:rsid w:val="00056ED1"/>
    <w:rsid w:val="00057296"/>
    <w:rsid w:val="00057364"/>
    <w:rsid w:val="000600C2"/>
    <w:rsid w:val="00060D9E"/>
    <w:rsid w:val="00061121"/>
    <w:rsid w:val="00061A4B"/>
    <w:rsid w:val="00061CB9"/>
    <w:rsid w:val="00061E3B"/>
    <w:rsid w:val="00063080"/>
    <w:rsid w:val="000632DF"/>
    <w:rsid w:val="000634D8"/>
    <w:rsid w:val="000637F3"/>
    <w:rsid w:val="00063A11"/>
    <w:rsid w:val="00063B34"/>
    <w:rsid w:val="00063BB3"/>
    <w:rsid w:val="00063F5B"/>
    <w:rsid w:val="000640C3"/>
    <w:rsid w:val="00064EBC"/>
    <w:rsid w:val="00064F73"/>
    <w:rsid w:val="000656D0"/>
    <w:rsid w:val="000656D5"/>
    <w:rsid w:val="0006581E"/>
    <w:rsid w:val="00065A97"/>
    <w:rsid w:val="00065CA4"/>
    <w:rsid w:val="000663C8"/>
    <w:rsid w:val="00066899"/>
    <w:rsid w:val="00066CBD"/>
    <w:rsid w:val="00066FB8"/>
    <w:rsid w:val="00067710"/>
    <w:rsid w:val="00067982"/>
    <w:rsid w:val="0006799C"/>
    <w:rsid w:val="0007051D"/>
    <w:rsid w:val="00070994"/>
    <w:rsid w:val="00070B1E"/>
    <w:rsid w:val="00070DE2"/>
    <w:rsid w:val="000713EE"/>
    <w:rsid w:val="00071777"/>
    <w:rsid w:val="000718FB"/>
    <w:rsid w:val="00072137"/>
    <w:rsid w:val="00072765"/>
    <w:rsid w:val="000727DF"/>
    <w:rsid w:val="00072EF2"/>
    <w:rsid w:val="00073230"/>
    <w:rsid w:val="00073719"/>
    <w:rsid w:val="00073731"/>
    <w:rsid w:val="0007386A"/>
    <w:rsid w:val="00074025"/>
    <w:rsid w:val="000742FF"/>
    <w:rsid w:val="00074309"/>
    <w:rsid w:val="00074A6B"/>
    <w:rsid w:val="00074E02"/>
    <w:rsid w:val="00075109"/>
    <w:rsid w:val="000758DF"/>
    <w:rsid w:val="00075A13"/>
    <w:rsid w:val="00075F0A"/>
    <w:rsid w:val="000765E3"/>
    <w:rsid w:val="00077122"/>
    <w:rsid w:val="00077134"/>
    <w:rsid w:val="000772F5"/>
    <w:rsid w:val="00077393"/>
    <w:rsid w:val="000773E4"/>
    <w:rsid w:val="00077498"/>
    <w:rsid w:val="000774BF"/>
    <w:rsid w:val="000802CF"/>
    <w:rsid w:val="000811D3"/>
    <w:rsid w:val="00081709"/>
    <w:rsid w:val="00081F0E"/>
    <w:rsid w:val="00082166"/>
    <w:rsid w:val="0008255F"/>
    <w:rsid w:val="000828D0"/>
    <w:rsid w:val="000830E3"/>
    <w:rsid w:val="000833A4"/>
    <w:rsid w:val="00083628"/>
    <w:rsid w:val="00083ADF"/>
    <w:rsid w:val="00083DC1"/>
    <w:rsid w:val="00083DE4"/>
    <w:rsid w:val="00083E89"/>
    <w:rsid w:val="00084CCD"/>
    <w:rsid w:val="00084EBD"/>
    <w:rsid w:val="00084FA1"/>
    <w:rsid w:val="000853EA"/>
    <w:rsid w:val="000858A1"/>
    <w:rsid w:val="00085966"/>
    <w:rsid w:val="00085B77"/>
    <w:rsid w:val="00085C11"/>
    <w:rsid w:val="00085C7F"/>
    <w:rsid w:val="0008628E"/>
    <w:rsid w:val="00086C1B"/>
    <w:rsid w:val="00086FCE"/>
    <w:rsid w:val="000875DA"/>
    <w:rsid w:val="0008779B"/>
    <w:rsid w:val="000879C5"/>
    <w:rsid w:val="00087BC5"/>
    <w:rsid w:val="00087FAE"/>
    <w:rsid w:val="0009008A"/>
    <w:rsid w:val="000902C8"/>
    <w:rsid w:val="000903C0"/>
    <w:rsid w:val="00090644"/>
    <w:rsid w:val="0009074B"/>
    <w:rsid w:val="00090C3A"/>
    <w:rsid w:val="00090E4F"/>
    <w:rsid w:val="00091D7A"/>
    <w:rsid w:val="00091DF2"/>
    <w:rsid w:val="00092507"/>
    <w:rsid w:val="00092661"/>
    <w:rsid w:val="00092667"/>
    <w:rsid w:val="00092728"/>
    <w:rsid w:val="00092D04"/>
    <w:rsid w:val="00092DB1"/>
    <w:rsid w:val="00093068"/>
    <w:rsid w:val="0009309A"/>
    <w:rsid w:val="0009312D"/>
    <w:rsid w:val="0009314B"/>
    <w:rsid w:val="0009318C"/>
    <w:rsid w:val="000935B0"/>
    <w:rsid w:val="000942FC"/>
    <w:rsid w:val="00094604"/>
    <w:rsid w:val="000947B6"/>
    <w:rsid w:val="0009496C"/>
    <w:rsid w:val="00094C29"/>
    <w:rsid w:val="00094D39"/>
    <w:rsid w:val="00094E21"/>
    <w:rsid w:val="00094E7B"/>
    <w:rsid w:val="00095006"/>
    <w:rsid w:val="00095194"/>
    <w:rsid w:val="000951FF"/>
    <w:rsid w:val="000952EE"/>
    <w:rsid w:val="00095964"/>
    <w:rsid w:val="00095D34"/>
    <w:rsid w:val="00096417"/>
    <w:rsid w:val="000964DA"/>
    <w:rsid w:val="000969D5"/>
    <w:rsid w:val="00096F5F"/>
    <w:rsid w:val="000973A0"/>
    <w:rsid w:val="000A059D"/>
    <w:rsid w:val="000A0BB5"/>
    <w:rsid w:val="000A0DAC"/>
    <w:rsid w:val="000A0EE6"/>
    <w:rsid w:val="000A0F2F"/>
    <w:rsid w:val="000A144A"/>
    <w:rsid w:val="000A1B2A"/>
    <w:rsid w:val="000A1CC9"/>
    <w:rsid w:val="000A1FF8"/>
    <w:rsid w:val="000A203E"/>
    <w:rsid w:val="000A28A1"/>
    <w:rsid w:val="000A3019"/>
    <w:rsid w:val="000A3474"/>
    <w:rsid w:val="000A417F"/>
    <w:rsid w:val="000A4A9E"/>
    <w:rsid w:val="000A4FFE"/>
    <w:rsid w:val="000A571F"/>
    <w:rsid w:val="000A5C5F"/>
    <w:rsid w:val="000A5CBF"/>
    <w:rsid w:val="000A5F33"/>
    <w:rsid w:val="000A6495"/>
    <w:rsid w:val="000A663F"/>
    <w:rsid w:val="000A6BE9"/>
    <w:rsid w:val="000A6D6F"/>
    <w:rsid w:val="000A6F2D"/>
    <w:rsid w:val="000A7143"/>
    <w:rsid w:val="000A7234"/>
    <w:rsid w:val="000A76EE"/>
    <w:rsid w:val="000B0161"/>
    <w:rsid w:val="000B030D"/>
    <w:rsid w:val="000B06D3"/>
    <w:rsid w:val="000B07D3"/>
    <w:rsid w:val="000B111B"/>
    <w:rsid w:val="000B1C28"/>
    <w:rsid w:val="000B2512"/>
    <w:rsid w:val="000B3537"/>
    <w:rsid w:val="000B397C"/>
    <w:rsid w:val="000B426B"/>
    <w:rsid w:val="000B494A"/>
    <w:rsid w:val="000B4CCB"/>
    <w:rsid w:val="000B5407"/>
    <w:rsid w:val="000B544F"/>
    <w:rsid w:val="000B561A"/>
    <w:rsid w:val="000B5EA5"/>
    <w:rsid w:val="000B5EBF"/>
    <w:rsid w:val="000B6050"/>
    <w:rsid w:val="000B60DF"/>
    <w:rsid w:val="000B639D"/>
    <w:rsid w:val="000B63CB"/>
    <w:rsid w:val="000B6554"/>
    <w:rsid w:val="000B6732"/>
    <w:rsid w:val="000B6D8F"/>
    <w:rsid w:val="000B6D9D"/>
    <w:rsid w:val="000B7149"/>
    <w:rsid w:val="000B750F"/>
    <w:rsid w:val="000B7A62"/>
    <w:rsid w:val="000C0686"/>
    <w:rsid w:val="000C0C11"/>
    <w:rsid w:val="000C1822"/>
    <w:rsid w:val="000C1835"/>
    <w:rsid w:val="000C1D88"/>
    <w:rsid w:val="000C2B39"/>
    <w:rsid w:val="000C2E97"/>
    <w:rsid w:val="000C3019"/>
    <w:rsid w:val="000C32F6"/>
    <w:rsid w:val="000C4116"/>
    <w:rsid w:val="000C45A0"/>
    <w:rsid w:val="000C4C5D"/>
    <w:rsid w:val="000C4E54"/>
    <w:rsid w:val="000C51E1"/>
    <w:rsid w:val="000C5963"/>
    <w:rsid w:val="000C5D67"/>
    <w:rsid w:val="000C5E52"/>
    <w:rsid w:val="000C6190"/>
    <w:rsid w:val="000C624C"/>
    <w:rsid w:val="000C6492"/>
    <w:rsid w:val="000C6893"/>
    <w:rsid w:val="000C68DF"/>
    <w:rsid w:val="000C6E1B"/>
    <w:rsid w:val="000C6E41"/>
    <w:rsid w:val="000C6F77"/>
    <w:rsid w:val="000C707B"/>
    <w:rsid w:val="000C7491"/>
    <w:rsid w:val="000C7612"/>
    <w:rsid w:val="000C792C"/>
    <w:rsid w:val="000C7A67"/>
    <w:rsid w:val="000D02A2"/>
    <w:rsid w:val="000D06D2"/>
    <w:rsid w:val="000D1560"/>
    <w:rsid w:val="000D1683"/>
    <w:rsid w:val="000D2096"/>
    <w:rsid w:val="000D24A6"/>
    <w:rsid w:val="000D25DE"/>
    <w:rsid w:val="000D2EB4"/>
    <w:rsid w:val="000D31FA"/>
    <w:rsid w:val="000D399D"/>
    <w:rsid w:val="000D3F33"/>
    <w:rsid w:val="000D43A3"/>
    <w:rsid w:val="000D4584"/>
    <w:rsid w:val="000D4693"/>
    <w:rsid w:val="000D473B"/>
    <w:rsid w:val="000D4A02"/>
    <w:rsid w:val="000D4F54"/>
    <w:rsid w:val="000D4FEE"/>
    <w:rsid w:val="000D5200"/>
    <w:rsid w:val="000D533F"/>
    <w:rsid w:val="000D548B"/>
    <w:rsid w:val="000D54CA"/>
    <w:rsid w:val="000D595C"/>
    <w:rsid w:val="000D6393"/>
    <w:rsid w:val="000D63B6"/>
    <w:rsid w:val="000D64F1"/>
    <w:rsid w:val="000D695C"/>
    <w:rsid w:val="000D6BB6"/>
    <w:rsid w:val="000D6DA5"/>
    <w:rsid w:val="000E0294"/>
    <w:rsid w:val="000E0459"/>
    <w:rsid w:val="000E045E"/>
    <w:rsid w:val="000E04E3"/>
    <w:rsid w:val="000E07EE"/>
    <w:rsid w:val="000E08B6"/>
    <w:rsid w:val="000E09AE"/>
    <w:rsid w:val="000E09B9"/>
    <w:rsid w:val="000E0C30"/>
    <w:rsid w:val="000E0FE9"/>
    <w:rsid w:val="000E1211"/>
    <w:rsid w:val="000E1C3E"/>
    <w:rsid w:val="000E21E1"/>
    <w:rsid w:val="000E3107"/>
    <w:rsid w:val="000E32F6"/>
    <w:rsid w:val="000E353C"/>
    <w:rsid w:val="000E43E3"/>
    <w:rsid w:val="000E4789"/>
    <w:rsid w:val="000E4E73"/>
    <w:rsid w:val="000E5723"/>
    <w:rsid w:val="000E5E2D"/>
    <w:rsid w:val="000E5F15"/>
    <w:rsid w:val="000E668B"/>
    <w:rsid w:val="000E679B"/>
    <w:rsid w:val="000E6A2C"/>
    <w:rsid w:val="000E6B9A"/>
    <w:rsid w:val="000E6CC1"/>
    <w:rsid w:val="000E6F44"/>
    <w:rsid w:val="000E6F87"/>
    <w:rsid w:val="000E7113"/>
    <w:rsid w:val="000E71F8"/>
    <w:rsid w:val="000E7360"/>
    <w:rsid w:val="000E7669"/>
    <w:rsid w:val="000E7761"/>
    <w:rsid w:val="000E7CC3"/>
    <w:rsid w:val="000F08AA"/>
    <w:rsid w:val="000F096A"/>
    <w:rsid w:val="000F0FC7"/>
    <w:rsid w:val="000F0FEA"/>
    <w:rsid w:val="000F104B"/>
    <w:rsid w:val="000F1215"/>
    <w:rsid w:val="000F18AA"/>
    <w:rsid w:val="000F1B5B"/>
    <w:rsid w:val="000F1DD8"/>
    <w:rsid w:val="000F1E0E"/>
    <w:rsid w:val="000F225A"/>
    <w:rsid w:val="000F287E"/>
    <w:rsid w:val="000F2D9C"/>
    <w:rsid w:val="000F32C4"/>
    <w:rsid w:val="000F3C5A"/>
    <w:rsid w:val="000F3CDC"/>
    <w:rsid w:val="000F420B"/>
    <w:rsid w:val="000F4690"/>
    <w:rsid w:val="000F4791"/>
    <w:rsid w:val="000F5123"/>
    <w:rsid w:val="000F5389"/>
    <w:rsid w:val="000F559F"/>
    <w:rsid w:val="000F594E"/>
    <w:rsid w:val="000F5A41"/>
    <w:rsid w:val="000F6180"/>
    <w:rsid w:val="000F643C"/>
    <w:rsid w:val="000F6D71"/>
    <w:rsid w:val="000F7015"/>
    <w:rsid w:val="000F7449"/>
    <w:rsid w:val="000F7568"/>
    <w:rsid w:val="001002DF"/>
    <w:rsid w:val="00100385"/>
    <w:rsid w:val="001003FD"/>
    <w:rsid w:val="00100450"/>
    <w:rsid w:val="0010059F"/>
    <w:rsid w:val="00101251"/>
    <w:rsid w:val="00101E24"/>
    <w:rsid w:val="00102058"/>
    <w:rsid w:val="00102119"/>
    <w:rsid w:val="0010238A"/>
    <w:rsid w:val="001026F5"/>
    <w:rsid w:val="0010281E"/>
    <w:rsid w:val="00102D32"/>
    <w:rsid w:val="00102D94"/>
    <w:rsid w:val="001033FC"/>
    <w:rsid w:val="00103675"/>
    <w:rsid w:val="001037DA"/>
    <w:rsid w:val="001045B8"/>
    <w:rsid w:val="00104C64"/>
    <w:rsid w:val="00105124"/>
    <w:rsid w:val="00105371"/>
    <w:rsid w:val="00105603"/>
    <w:rsid w:val="0010579A"/>
    <w:rsid w:val="00105F4E"/>
    <w:rsid w:val="001062D4"/>
    <w:rsid w:val="001064DB"/>
    <w:rsid w:val="001069C2"/>
    <w:rsid w:val="001070D2"/>
    <w:rsid w:val="001073A9"/>
    <w:rsid w:val="00107A09"/>
    <w:rsid w:val="00107A2C"/>
    <w:rsid w:val="00110174"/>
    <w:rsid w:val="00110409"/>
    <w:rsid w:val="0011118E"/>
    <w:rsid w:val="00111757"/>
    <w:rsid w:val="00111999"/>
    <w:rsid w:val="00111B76"/>
    <w:rsid w:val="001120B0"/>
    <w:rsid w:val="00112744"/>
    <w:rsid w:val="00112812"/>
    <w:rsid w:val="00112A81"/>
    <w:rsid w:val="00112B79"/>
    <w:rsid w:val="00112EAB"/>
    <w:rsid w:val="00112FC7"/>
    <w:rsid w:val="001132CB"/>
    <w:rsid w:val="0011354D"/>
    <w:rsid w:val="00113DE2"/>
    <w:rsid w:val="00113E00"/>
    <w:rsid w:val="00113E27"/>
    <w:rsid w:val="001144A9"/>
    <w:rsid w:val="001146F8"/>
    <w:rsid w:val="001147C7"/>
    <w:rsid w:val="001148FA"/>
    <w:rsid w:val="00114AC9"/>
    <w:rsid w:val="00114B85"/>
    <w:rsid w:val="00114CED"/>
    <w:rsid w:val="00114FAC"/>
    <w:rsid w:val="0011505E"/>
    <w:rsid w:val="00115114"/>
    <w:rsid w:val="0011512B"/>
    <w:rsid w:val="00115239"/>
    <w:rsid w:val="001155BD"/>
    <w:rsid w:val="00116896"/>
    <w:rsid w:val="00116B0B"/>
    <w:rsid w:val="00116FC3"/>
    <w:rsid w:val="00117A70"/>
    <w:rsid w:val="001205D3"/>
    <w:rsid w:val="00120AC9"/>
    <w:rsid w:val="00120CD9"/>
    <w:rsid w:val="00121281"/>
    <w:rsid w:val="001215A0"/>
    <w:rsid w:val="00121808"/>
    <w:rsid w:val="00121AC7"/>
    <w:rsid w:val="00121E0A"/>
    <w:rsid w:val="00122209"/>
    <w:rsid w:val="0012226E"/>
    <w:rsid w:val="001231D8"/>
    <w:rsid w:val="0012347F"/>
    <w:rsid w:val="001236EB"/>
    <w:rsid w:val="00123D25"/>
    <w:rsid w:val="00123F53"/>
    <w:rsid w:val="00123FDF"/>
    <w:rsid w:val="00124A6A"/>
    <w:rsid w:val="00124AD7"/>
    <w:rsid w:val="00124C21"/>
    <w:rsid w:val="00124C5B"/>
    <w:rsid w:val="00124DF8"/>
    <w:rsid w:val="00125373"/>
    <w:rsid w:val="001253D1"/>
    <w:rsid w:val="001254F0"/>
    <w:rsid w:val="001258A1"/>
    <w:rsid w:val="00125B1A"/>
    <w:rsid w:val="0012606C"/>
    <w:rsid w:val="001269D9"/>
    <w:rsid w:val="00126C82"/>
    <w:rsid w:val="00126F5E"/>
    <w:rsid w:val="0012723D"/>
    <w:rsid w:val="0012759A"/>
    <w:rsid w:val="00127D40"/>
    <w:rsid w:val="00132D5D"/>
    <w:rsid w:val="00132F87"/>
    <w:rsid w:val="0013327E"/>
    <w:rsid w:val="001335D8"/>
    <w:rsid w:val="00133B08"/>
    <w:rsid w:val="00133E98"/>
    <w:rsid w:val="0013406A"/>
    <w:rsid w:val="001341A3"/>
    <w:rsid w:val="00134BF0"/>
    <w:rsid w:val="00134E96"/>
    <w:rsid w:val="001358B9"/>
    <w:rsid w:val="00135939"/>
    <w:rsid w:val="00135962"/>
    <w:rsid w:val="00135A2B"/>
    <w:rsid w:val="0013604C"/>
    <w:rsid w:val="0013613D"/>
    <w:rsid w:val="00136B96"/>
    <w:rsid w:val="00136C9B"/>
    <w:rsid w:val="00136FAA"/>
    <w:rsid w:val="00136FC5"/>
    <w:rsid w:val="001370B4"/>
    <w:rsid w:val="001372DD"/>
    <w:rsid w:val="0013757A"/>
    <w:rsid w:val="0013776F"/>
    <w:rsid w:val="0013788A"/>
    <w:rsid w:val="001378E5"/>
    <w:rsid w:val="00140371"/>
    <w:rsid w:val="00140702"/>
    <w:rsid w:val="00140B77"/>
    <w:rsid w:val="0014123E"/>
    <w:rsid w:val="00141492"/>
    <w:rsid w:val="001415C5"/>
    <w:rsid w:val="001418DB"/>
    <w:rsid w:val="00141A52"/>
    <w:rsid w:val="00141B1A"/>
    <w:rsid w:val="00141BCB"/>
    <w:rsid w:val="001424C3"/>
    <w:rsid w:val="00142E66"/>
    <w:rsid w:val="00143850"/>
    <w:rsid w:val="00143A78"/>
    <w:rsid w:val="00143ACC"/>
    <w:rsid w:val="00143B99"/>
    <w:rsid w:val="00143E95"/>
    <w:rsid w:val="00143FF9"/>
    <w:rsid w:val="00144B88"/>
    <w:rsid w:val="0014577C"/>
    <w:rsid w:val="00145C7C"/>
    <w:rsid w:val="00146129"/>
    <w:rsid w:val="001461EF"/>
    <w:rsid w:val="00146864"/>
    <w:rsid w:val="00146D42"/>
    <w:rsid w:val="00146F4A"/>
    <w:rsid w:val="00146FAE"/>
    <w:rsid w:val="00147803"/>
    <w:rsid w:val="00147FB1"/>
    <w:rsid w:val="00150EC2"/>
    <w:rsid w:val="00151286"/>
    <w:rsid w:val="00151345"/>
    <w:rsid w:val="001515BA"/>
    <w:rsid w:val="00151881"/>
    <w:rsid w:val="00151C62"/>
    <w:rsid w:val="00152271"/>
    <w:rsid w:val="0015244D"/>
    <w:rsid w:val="0015266D"/>
    <w:rsid w:val="0015280C"/>
    <w:rsid w:val="00152A9F"/>
    <w:rsid w:val="00152B16"/>
    <w:rsid w:val="00152DF6"/>
    <w:rsid w:val="00152E38"/>
    <w:rsid w:val="0015308C"/>
    <w:rsid w:val="00153B27"/>
    <w:rsid w:val="0015410B"/>
    <w:rsid w:val="00154236"/>
    <w:rsid w:val="001542F8"/>
    <w:rsid w:val="00154A40"/>
    <w:rsid w:val="00154DF4"/>
    <w:rsid w:val="00154EB8"/>
    <w:rsid w:val="00155394"/>
    <w:rsid w:val="00155500"/>
    <w:rsid w:val="00155A3D"/>
    <w:rsid w:val="00155B25"/>
    <w:rsid w:val="00155F1A"/>
    <w:rsid w:val="0015665E"/>
    <w:rsid w:val="00156889"/>
    <w:rsid w:val="00156C64"/>
    <w:rsid w:val="001574B7"/>
    <w:rsid w:val="00157632"/>
    <w:rsid w:val="00157EC4"/>
    <w:rsid w:val="001609B1"/>
    <w:rsid w:val="001615C1"/>
    <w:rsid w:val="001616E5"/>
    <w:rsid w:val="00161740"/>
    <w:rsid w:val="00161F5E"/>
    <w:rsid w:val="001634B2"/>
    <w:rsid w:val="001637A6"/>
    <w:rsid w:val="00163B00"/>
    <w:rsid w:val="00163B78"/>
    <w:rsid w:val="00164344"/>
    <w:rsid w:val="001646B2"/>
    <w:rsid w:val="001646B4"/>
    <w:rsid w:val="001649F6"/>
    <w:rsid w:val="00164BC1"/>
    <w:rsid w:val="00165312"/>
    <w:rsid w:val="001654B4"/>
    <w:rsid w:val="001658A0"/>
    <w:rsid w:val="00165C9F"/>
    <w:rsid w:val="00165FA4"/>
    <w:rsid w:val="0016621E"/>
    <w:rsid w:val="0016627D"/>
    <w:rsid w:val="001662C2"/>
    <w:rsid w:val="001670E6"/>
    <w:rsid w:val="0016726A"/>
    <w:rsid w:val="00167377"/>
    <w:rsid w:val="00170903"/>
    <w:rsid w:val="00170C28"/>
    <w:rsid w:val="00170C9A"/>
    <w:rsid w:val="00170F32"/>
    <w:rsid w:val="0017119B"/>
    <w:rsid w:val="0017126F"/>
    <w:rsid w:val="001716A1"/>
    <w:rsid w:val="00171E60"/>
    <w:rsid w:val="00171FE6"/>
    <w:rsid w:val="00172651"/>
    <w:rsid w:val="0017266C"/>
    <w:rsid w:val="00172777"/>
    <w:rsid w:val="0017288E"/>
    <w:rsid w:val="00172ED4"/>
    <w:rsid w:val="001734C0"/>
    <w:rsid w:val="001741C2"/>
    <w:rsid w:val="00174291"/>
    <w:rsid w:val="001745D0"/>
    <w:rsid w:val="00174668"/>
    <w:rsid w:val="00174F7D"/>
    <w:rsid w:val="00174F82"/>
    <w:rsid w:val="00174FF1"/>
    <w:rsid w:val="00175587"/>
    <w:rsid w:val="00175CDF"/>
    <w:rsid w:val="00175E35"/>
    <w:rsid w:val="00176311"/>
    <w:rsid w:val="001764B9"/>
    <w:rsid w:val="0017652F"/>
    <w:rsid w:val="00176835"/>
    <w:rsid w:val="00176A60"/>
    <w:rsid w:val="00176B4D"/>
    <w:rsid w:val="0017700E"/>
    <w:rsid w:val="001770B7"/>
    <w:rsid w:val="00177D64"/>
    <w:rsid w:val="00177F61"/>
    <w:rsid w:val="00180AED"/>
    <w:rsid w:val="00180C84"/>
    <w:rsid w:val="00180DB7"/>
    <w:rsid w:val="0018116A"/>
    <w:rsid w:val="0018179B"/>
    <w:rsid w:val="00181892"/>
    <w:rsid w:val="00181AF3"/>
    <w:rsid w:val="0018240B"/>
    <w:rsid w:val="00182425"/>
    <w:rsid w:val="0018253B"/>
    <w:rsid w:val="0018254F"/>
    <w:rsid w:val="001827E6"/>
    <w:rsid w:val="00183363"/>
    <w:rsid w:val="00183759"/>
    <w:rsid w:val="001839EA"/>
    <w:rsid w:val="00183B59"/>
    <w:rsid w:val="001842EE"/>
    <w:rsid w:val="00184EBE"/>
    <w:rsid w:val="0018504B"/>
    <w:rsid w:val="001851B1"/>
    <w:rsid w:val="001852C0"/>
    <w:rsid w:val="0018594A"/>
    <w:rsid w:val="00186C2C"/>
    <w:rsid w:val="00186C6E"/>
    <w:rsid w:val="00186DC7"/>
    <w:rsid w:val="00187102"/>
    <w:rsid w:val="00187E1A"/>
    <w:rsid w:val="001900F0"/>
    <w:rsid w:val="001901B4"/>
    <w:rsid w:val="00190259"/>
    <w:rsid w:val="001905A1"/>
    <w:rsid w:val="00190644"/>
    <w:rsid w:val="00190AD5"/>
    <w:rsid w:val="00190E96"/>
    <w:rsid w:val="00191142"/>
    <w:rsid w:val="001913DE"/>
    <w:rsid w:val="00191524"/>
    <w:rsid w:val="00191607"/>
    <w:rsid w:val="001918FD"/>
    <w:rsid w:val="00191CBB"/>
    <w:rsid w:val="00191D45"/>
    <w:rsid w:val="00192109"/>
    <w:rsid w:val="00192447"/>
    <w:rsid w:val="00192FFA"/>
    <w:rsid w:val="0019355B"/>
    <w:rsid w:val="00194854"/>
    <w:rsid w:val="001948DE"/>
    <w:rsid w:val="001949DB"/>
    <w:rsid w:val="00194DE6"/>
    <w:rsid w:val="00194EED"/>
    <w:rsid w:val="00194FDE"/>
    <w:rsid w:val="00195245"/>
    <w:rsid w:val="001954E9"/>
    <w:rsid w:val="00195FAD"/>
    <w:rsid w:val="00196255"/>
    <w:rsid w:val="00196425"/>
    <w:rsid w:val="0019644F"/>
    <w:rsid w:val="0019645B"/>
    <w:rsid w:val="001966C9"/>
    <w:rsid w:val="00196E66"/>
    <w:rsid w:val="00197080"/>
    <w:rsid w:val="001976E9"/>
    <w:rsid w:val="00197CC5"/>
    <w:rsid w:val="00197DF4"/>
    <w:rsid w:val="001A0214"/>
    <w:rsid w:val="001A0522"/>
    <w:rsid w:val="001A074A"/>
    <w:rsid w:val="001A0925"/>
    <w:rsid w:val="001A0978"/>
    <w:rsid w:val="001A0AAF"/>
    <w:rsid w:val="001A0AFD"/>
    <w:rsid w:val="001A0F43"/>
    <w:rsid w:val="001A12E8"/>
    <w:rsid w:val="001A237B"/>
    <w:rsid w:val="001A2885"/>
    <w:rsid w:val="001A294F"/>
    <w:rsid w:val="001A2FA3"/>
    <w:rsid w:val="001A3D38"/>
    <w:rsid w:val="001A404C"/>
    <w:rsid w:val="001A4DC3"/>
    <w:rsid w:val="001A4E80"/>
    <w:rsid w:val="001A54C4"/>
    <w:rsid w:val="001A5BCA"/>
    <w:rsid w:val="001A60FC"/>
    <w:rsid w:val="001A638B"/>
    <w:rsid w:val="001A65AF"/>
    <w:rsid w:val="001A6668"/>
    <w:rsid w:val="001A68DA"/>
    <w:rsid w:val="001A6EA1"/>
    <w:rsid w:val="001A6F8C"/>
    <w:rsid w:val="001A7055"/>
    <w:rsid w:val="001A7225"/>
    <w:rsid w:val="001A7756"/>
    <w:rsid w:val="001A7952"/>
    <w:rsid w:val="001B0EAB"/>
    <w:rsid w:val="001B11AC"/>
    <w:rsid w:val="001B12C6"/>
    <w:rsid w:val="001B1308"/>
    <w:rsid w:val="001B13F7"/>
    <w:rsid w:val="001B157F"/>
    <w:rsid w:val="001B19F3"/>
    <w:rsid w:val="001B1DC0"/>
    <w:rsid w:val="001B216C"/>
    <w:rsid w:val="001B3A2B"/>
    <w:rsid w:val="001B49D5"/>
    <w:rsid w:val="001B4B43"/>
    <w:rsid w:val="001B4F25"/>
    <w:rsid w:val="001B4F5C"/>
    <w:rsid w:val="001B530E"/>
    <w:rsid w:val="001B5319"/>
    <w:rsid w:val="001B5438"/>
    <w:rsid w:val="001B5E46"/>
    <w:rsid w:val="001B682C"/>
    <w:rsid w:val="001B6C3E"/>
    <w:rsid w:val="001B6C44"/>
    <w:rsid w:val="001B6EAF"/>
    <w:rsid w:val="001B7D53"/>
    <w:rsid w:val="001C04FF"/>
    <w:rsid w:val="001C0744"/>
    <w:rsid w:val="001C11F5"/>
    <w:rsid w:val="001C1213"/>
    <w:rsid w:val="001C1387"/>
    <w:rsid w:val="001C1AA5"/>
    <w:rsid w:val="001C20A9"/>
    <w:rsid w:val="001C216D"/>
    <w:rsid w:val="001C2381"/>
    <w:rsid w:val="001C3167"/>
    <w:rsid w:val="001C387E"/>
    <w:rsid w:val="001C39E8"/>
    <w:rsid w:val="001C4135"/>
    <w:rsid w:val="001C47E7"/>
    <w:rsid w:val="001C48CC"/>
    <w:rsid w:val="001C52A5"/>
    <w:rsid w:val="001C54E7"/>
    <w:rsid w:val="001C5588"/>
    <w:rsid w:val="001C568A"/>
    <w:rsid w:val="001C5726"/>
    <w:rsid w:val="001C580D"/>
    <w:rsid w:val="001C58DC"/>
    <w:rsid w:val="001C6253"/>
    <w:rsid w:val="001C6BDD"/>
    <w:rsid w:val="001C6C18"/>
    <w:rsid w:val="001C7441"/>
    <w:rsid w:val="001D0058"/>
    <w:rsid w:val="001D01F5"/>
    <w:rsid w:val="001D135B"/>
    <w:rsid w:val="001D13D0"/>
    <w:rsid w:val="001D13D4"/>
    <w:rsid w:val="001D16A4"/>
    <w:rsid w:val="001D2121"/>
    <w:rsid w:val="001D280A"/>
    <w:rsid w:val="001D2856"/>
    <w:rsid w:val="001D2D66"/>
    <w:rsid w:val="001D2DB4"/>
    <w:rsid w:val="001D2DD5"/>
    <w:rsid w:val="001D2FE0"/>
    <w:rsid w:val="001D3612"/>
    <w:rsid w:val="001D3D4E"/>
    <w:rsid w:val="001D3FDD"/>
    <w:rsid w:val="001D4574"/>
    <w:rsid w:val="001D4762"/>
    <w:rsid w:val="001D47FC"/>
    <w:rsid w:val="001D501F"/>
    <w:rsid w:val="001D508F"/>
    <w:rsid w:val="001D51CC"/>
    <w:rsid w:val="001D52DD"/>
    <w:rsid w:val="001D54F9"/>
    <w:rsid w:val="001D588C"/>
    <w:rsid w:val="001D589E"/>
    <w:rsid w:val="001D5A08"/>
    <w:rsid w:val="001D5CDB"/>
    <w:rsid w:val="001D5D74"/>
    <w:rsid w:val="001D661F"/>
    <w:rsid w:val="001D6939"/>
    <w:rsid w:val="001D6F83"/>
    <w:rsid w:val="001D702D"/>
    <w:rsid w:val="001D73BF"/>
    <w:rsid w:val="001D7528"/>
    <w:rsid w:val="001D7561"/>
    <w:rsid w:val="001D770D"/>
    <w:rsid w:val="001D7802"/>
    <w:rsid w:val="001D7CA9"/>
    <w:rsid w:val="001E07F1"/>
    <w:rsid w:val="001E0856"/>
    <w:rsid w:val="001E0EA7"/>
    <w:rsid w:val="001E16D4"/>
    <w:rsid w:val="001E1F2C"/>
    <w:rsid w:val="001E2C01"/>
    <w:rsid w:val="001E32B9"/>
    <w:rsid w:val="001E32C3"/>
    <w:rsid w:val="001E34E4"/>
    <w:rsid w:val="001E3685"/>
    <w:rsid w:val="001E36DF"/>
    <w:rsid w:val="001E3882"/>
    <w:rsid w:val="001E41EB"/>
    <w:rsid w:val="001E420B"/>
    <w:rsid w:val="001E428D"/>
    <w:rsid w:val="001E4400"/>
    <w:rsid w:val="001E473E"/>
    <w:rsid w:val="001E4B81"/>
    <w:rsid w:val="001E501F"/>
    <w:rsid w:val="001E5761"/>
    <w:rsid w:val="001E5951"/>
    <w:rsid w:val="001E635D"/>
    <w:rsid w:val="001E6457"/>
    <w:rsid w:val="001E6835"/>
    <w:rsid w:val="001E6C56"/>
    <w:rsid w:val="001E6FA3"/>
    <w:rsid w:val="001E7412"/>
    <w:rsid w:val="001E7B72"/>
    <w:rsid w:val="001E7B7D"/>
    <w:rsid w:val="001F058F"/>
    <w:rsid w:val="001F0B29"/>
    <w:rsid w:val="001F0B2C"/>
    <w:rsid w:val="001F0EBF"/>
    <w:rsid w:val="001F1A91"/>
    <w:rsid w:val="001F1AC5"/>
    <w:rsid w:val="001F2399"/>
    <w:rsid w:val="001F23CD"/>
    <w:rsid w:val="001F3070"/>
    <w:rsid w:val="001F3199"/>
    <w:rsid w:val="001F320B"/>
    <w:rsid w:val="001F3C58"/>
    <w:rsid w:val="001F3EC7"/>
    <w:rsid w:val="001F4834"/>
    <w:rsid w:val="001F4DCA"/>
    <w:rsid w:val="001F54E2"/>
    <w:rsid w:val="001F56D1"/>
    <w:rsid w:val="001F5B2B"/>
    <w:rsid w:val="001F5E05"/>
    <w:rsid w:val="001F5E62"/>
    <w:rsid w:val="001F5E6A"/>
    <w:rsid w:val="001F5FB4"/>
    <w:rsid w:val="001F646D"/>
    <w:rsid w:val="001F69A2"/>
    <w:rsid w:val="001F6E6E"/>
    <w:rsid w:val="001F6EE1"/>
    <w:rsid w:val="001F6F41"/>
    <w:rsid w:val="001F7878"/>
    <w:rsid w:val="001F7A97"/>
    <w:rsid w:val="001F7AAA"/>
    <w:rsid w:val="001F7C89"/>
    <w:rsid w:val="0020005F"/>
    <w:rsid w:val="00200134"/>
    <w:rsid w:val="00200D8B"/>
    <w:rsid w:val="0020124D"/>
    <w:rsid w:val="00201834"/>
    <w:rsid w:val="00201D80"/>
    <w:rsid w:val="00201F2B"/>
    <w:rsid w:val="0020256D"/>
    <w:rsid w:val="00203073"/>
    <w:rsid w:val="0020398A"/>
    <w:rsid w:val="002039E9"/>
    <w:rsid w:val="00203ECF"/>
    <w:rsid w:val="00203FDE"/>
    <w:rsid w:val="002045EA"/>
    <w:rsid w:val="00204667"/>
    <w:rsid w:val="0020466C"/>
    <w:rsid w:val="002046F5"/>
    <w:rsid w:val="002048B1"/>
    <w:rsid w:val="00204EC5"/>
    <w:rsid w:val="002052AA"/>
    <w:rsid w:val="00205789"/>
    <w:rsid w:val="0020608B"/>
    <w:rsid w:val="002060B8"/>
    <w:rsid w:val="00206614"/>
    <w:rsid w:val="0020675B"/>
    <w:rsid w:val="0020715C"/>
    <w:rsid w:val="00207A53"/>
    <w:rsid w:val="0021020A"/>
    <w:rsid w:val="0021061F"/>
    <w:rsid w:val="00211136"/>
    <w:rsid w:val="00211BC0"/>
    <w:rsid w:val="00211C5C"/>
    <w:rsid w:val="00212CDB"/>
    <w:rsid w:val="00212E91"/>
    <w:rsid w:val="00212EDF"/>
    <w:rsid w:val="0021358C"/>
    <w:rsid w:val="002137D6"/>
    <w:rsid w:val="0021385A"/>
    <w:rsid w:val="00213896"/>
    <w:rsid w:val="00214AC2"/>
    <w:rsid w:val="00214B7D"/>
    <w:rsid w:val="00215D4E"/>
    <w:rsid w:val="002165D0"/>
    <w:rsid w:val="0021684E"/>
    <w:rsid w:val="00216B97"/>
    <w:rsid w:val="00216DCA"/>
    <w:rsid w:val="002176EF"/>
    <w:rsid w:val="00217AB4"/>
    <w:rsid w:val="00217CD1"/>
    <w:rsid w:val="00217D2A"/>
    <w:rsid w:val="00217EEB"/>
    <w:rsid w:val="002210A8"/>
    <w:rsid w:val="00221173"/>
    <w:rsid w:val="00221A0E"/>
    <w:rsid w:val="00221BFA"/>
    <w:rsid w:val="00221DEA"/>
    <w:rsid w:val="002220F3"/>
    <w:rsid w:val="0022236A"/>
    <w:rsid w:val="0022256C"/>
    <w:rsid w:val="00222F67"/>
    <w:rsid w:val="00223288"/>
    <w:rsid w:val="002234EE"/>
    <w:rsid w:val="002235EA"/>
    <w:rsid w:val="00223E4B"/>
    <w:rsid w:val="00223FC9"/>
    <w:rsid w:val="002243BE"/>
    <w:rsid w:val="0022460F"/>
    <w:rsid w:val="0022465B"/>
    <w:rsid w:val="00224E12"/>
    <w:rsid w:val="002250EE"/>
    <w:rsid w:val="00225784"/>
    <w:rsid w:val="0022592D"/>
    <w:rsid w:val="002259C7"/>
    <w:rsid w:val="00225A29"/>
    <w:rsid w:val="00225C71"/>
    <w:rsid w:val="00225D46"/>
    <w:rsid w:val="00225E1E"/>
    <w:rsid w:val="00225E26"/>
    <w:rsid w:val="00226709"/>
    <w:rsid w:val="0022692D"/>
    <w:rsid w:val="00227307"/>
    <w:rsid w:val="00227493"/>
    <w:rsid w:val="00227DCC"/>
    <w:rsid w:val="00227EA5"/>
    <w:rsid w:val="00230713"/>
    <w:rsid w:val="002307B6"/>
    <w:rsid w:val="00230A88"/>
    <w:rsid w:val="00230B73"/>
    <w:rsid w:val="00230C2C"/>
    <w:rsid w:val="00230F59"/>
    <w:rsid w:val="00231427"/>
    <w:rsid w:val="00231472"/>
    <w:rsid w:val="002317FB"/>
    <w:rsid w:val="00231981"/>
    <w:rsid w:val="00231C32"/>
    <w:rsid w:val="00231C36"/>
    <w:rsid w:val="00231FB6"/>
    <w:rsid w:val="0023257C"/>
    <w:rsid w:val="002325DD"/>
    <w:rsid w:val="00233347"/>
    <w:rsid w:val="00234503"/>
    <w:rsid w:val="00234545"/>
    <w:rsid w:val="0023519E"/>
    <w:rsid w:val="002352C1"/>
    <w:rsid w:val="002356BD"/>
    <w:rsid w:val="00236000"/>
    <w:rsid w:val="0023657D"/>
    <w:rsid w:val="002369BA"/>
    <w:rsid w:val="00236D5A"/>
    <w:rsid w:val="00236F27"/>
    <w:rsid w:val="00237207"/>
    <w:rsid w:val="0023787F"/>
    <w:rsid w:val="00237A12"/>
    <w:rsid w:val="002404F7"/>
    <w:rsid w:val="0024092A"/>
    <w:rsid w:val="00240A4D"/>
    <w:rsid w:val="0024147E"/>
    <w:rsid w:val="002417F7"/>
    <w:rsid w:val="00241D13"/>
    <w:rsid w:val="00241D23"/>
    <w:rsid w:val="002427C6"/>
    <w:rsid w:val="00242B3D"/>
    <w:rsid w:val="00242EF9"/>
    <w:rsid w:val="00243FDF"/>
    <w:rsid w:val="0024487B"/>
    <w:rsid w:val="00244F6E"/>
    <w:rsid w:val="002450E7"/>
    <w:rsid w:val="0024531C"/>
    <w:rsid w:val="00245A71"/>
    <w:rsid w:val="00245EDB"/>
    <w:rsid w:val="00245F9F"/>
    <w:rsid w:val="00246063"/>
    <w:rsid w:val="0024636D"/>
    <w:rsid w:val="00246756"/>
    <w:rsid w:val="0024730A"/>
    <w:rsid w:val="002473E8"/>
    <w:rsid w:val="002473F6"/>
    <w:rsid w:val="00247612"/>
    <w:rsid w:val="00247898"/>
    <w:rsid w:val="00247E1D"/>
    <w:rsid w:val="0025055A"/>
    <w:rsid w:val="00250F52"/>
    <w:rsid w:val="0025109A"/>
    <w:rsid w:val="002519F1"/>
    <w:rsid w:val="0025203F"/>
    <w:rsid w:val="00252229"/>
    <w:rsid w:val="00252E68"/>
    <w:rsid w:val="002532A6"/>
    <w:rsid w:val="00253AF1"/>
    <w:rsid w:val="00253FD2"/>
    <w:rsid w:val="002540F7"/>
    <w:rsid w:val="00254421"/>
    <w:rsid w:val="0025525A"/>
    <w:rsid w:val="00255A5A"/>
    <w:rsid w:val="00255B4C"/>
    <w:rsid w:val="002564CD"/>
    <w:rsid w:val="00256666"/>
    <w:rsid w:val="00256F9A"/>
    <w:rsid w:val="00257149"/>
    <w:rsid w:val="0025766C"/>
    <w:rsid w:val="00257D13"/>
    <w:rsid w:val="002606B9"/>
    <w:rsid w:val="00260C51"/>
    <w:rsid w:val="002613C8"/>
    <w:rsid w:val="00261557"/>
    <w:rsid w:val="00261746"/>
    <w:rsid w:val="002619E8"/>
    <w:rsid w:val="00261A11"/>
    <w:rsid w:val="00261EB1"/>
    <w:rsid w:val="00262065"/>
    <w:rsid w:val="002620F5"/>
    <w:rsid w:val="0026269E"/>
    <w:rsid w:val="0026276D"/>
    <w:rsid w:val="0026281E"/>
    <w:rsid w:val="0026304E"/>
    <w:rsid w:val="00263604"/>
    <w:rsid w:val="002638F0"/>
    <w:rsid w:val="0026413E"/>
    <w:rsid w:val="002642D7"/>
    <w:rsid w:val="0026495C"/>
    <w:rsid w:val="0026532F"/>
    <w:rsid w:val="00265422"/>
    <w:rsid w:val="0026632B"/>
    <w:rsid w:val="00266679"/>
    <w:rsid w:val="00266DF6"/>
    <w:rsid w:val="00266E04"/>
    <w:rsid w:val="002678B3"/>
    <w:rsid w:val="00267C84"/>
    <w:rsid w:val="00267EC5"/>
    <w:rsid w:val="00267F89"/>
    <w:rsid w:val="00270333"/>
    <w:rsid w:val="0027043D"/>
    <w:rsid w:val="002706D1"/>
    <w:rsid w:val="00270D87"/>
    <w:rsid w:val="002716C6"/>
    <w:rsid w:val="0027222D"/>
    <w:rsid w:val="00272321"/>
    <w:rsid w:val="00272E9B"/>
    <w:rsid w:val="00273643"/>
    <w:rsid w:val="00273D5A"/>
    <w:rsid w:val="00273DE4"/>
    <w:rsid w:val="00273F28"/>
    <w:rsid w:val="00274A09"/>
    <w:rsid w:val="00274FBD"/>
    <w:rsid w:val="002753BB"/>
    <w:rsid w:val="0027625C"/>
    <w:rsid w:val="00276357"/>
    <w:rsid w:val="002768E2"/>
    <w:rsid w:val="002769FA"/>
    <w:rsid w:val="00276D31"/>
    <w:rsid w:val="00276F57"/>
    <w:rsid w:val="002778AC"/>
    <w:rsid w:val="00277BCE"/>
    <w:rsid w:val="00277C44"/>
    <w:rsid w:val="00277ECA"/>
    <w:rsid w:val="002805C8"/>
    <w:rsid w:val="002806B6"/>
    <w:rsid w:val="00280794"/>
    <w:rsid w:val="00280A6F"/>
    <w:rsid w:val="00280A87"/>
    <w:rsid w:val="0028104F"/>
    <w:rsid w:val="00281EAE"/>
    <w:rsid w:val="00281FEC"/>
    <w:rsid w:val="002821DA"/>
    <w:rsid w:val="0028226B"/>
    <w:rsid w:val="00282716"/>
    <w:rsid w:val="00282A81"/>
    <w:rsid w:val="00282F22"/>
    <w:rsid w:val="00282FCB"/>
    <w:rsid w:val="00283329"/>
    <w:rsid w:val="00283432"/>
    <w:rsid w:val="0028394B"/>
    <w:rsid w:val="0028473A"/>
    <w:rsid w:val="00284AB6"/>
    <w:rsid w:val="00284C03"/>
    <w:rsid w:val="00284CA9"/>
    <w:rsid w:val="00285096"/>
    <w:rsid w:val="0028548F"/>
    <w:rsid w:val="002855CD"/>
    <w:rsid w:val="00285679"/>
    <w:rsid w:val="0028575A"/>
    <w:rsid w:val="00285889"/>
    <w:rsid w:val="002859F3"/>
    <w:rsid w:val="00285F24"/>
    <w:rsid w:val="0028621D"/>
    <w:rsid w:val="0028634C"/>
    <w:rsid w:val="002868C0"/>
    <w:rsid w:val="00286921"/>
    <w:rsid w:val="00286931"/>
    <w:rsid w:val="00286DAF"/>
    <w:rsid w:val="00286E01"/>
    <w:rsid w:val="00286FAB"/>
    <w:rsid w:val="0028735A"/>
    <w:rsid w:val="0028761C"/>
    <w:rsid w:val="00287B59"/>
    <w:rsid w:val="00287B8F"/>
    <w:rsid w:val="0029042E"/>
    <w:rsid w:val="00290649"/>
    <w:rsid w:val="002906F5"/>
    <w:rsid w:val="00290ADA"/>
    <w:rsid w:val="0029111B"/>
    <w:rsid w:val="0029111E"/>
    <w:rsid w:val="00291A3C"/>
    <w:rsid w:val="00291AFC"/>
    <w:rsid w:val="00291B99"/>
    <w:rsid w:val="00291D7F"/>
    <w:rsid w:val="00291DDB"/>
    <w:rsid w:val="00293324"/>
    <w:rsid w:val="00293B87"/>
    <w:rsid w:val="00294135"/>
    <w:rsid w:val="002946FC"/>
    <w:rsid w:val="00295451"/>
    <w:rsid w:val="002955AC"/>
    <w:rsid w:val="00295BA5"/>
    <w:rsid w:val="00295BBA"/>
    <w:rsid w:val="002960B2"/>
    <w:rsid w:val="002961E1"/>
    <w:rsid w:val="0029646A"/>
    <w:rsid w:val="00296C1A"/>
    <w:rsid w:val="00297193"/>
    <w:rsid w:val="00297342"/>
    <w:rsid w:val="00297716"/>
    <w:rsid w:val="00297812"/>
    <w:rsid w:val="002978CD"/>
    <w:rsid w:val="00297A2F"/>
    <w:rsid w:val="00297F53"/>
    <w:rsid w:val="002A01E3"/>
    <w:rsid w:val="002A0317"/>
    <w:rsid w:val="002A0475"/>
    <w:rsid w:val="002A06EC"/>
    <w:rsid w:val="002A0793"/>
    <w:rsid w:val="002A07F3"/>
    <w:rsid w:val="002A091A"/>
    <w:rsid w:val="002A09CB"/>
    <w:rsid w:val="002A0B6B"/>
    <w:rsid w:val="002A1147"/>
    <w:rsid w:val="002A1383"/>
    <w:rsid w:val="002A1F73"/>
    <w:rsid w:val="002A21A7"/>
    <w:rsid w:val="002A23F9"/>
    <w:rsid w:val="002A29A5"/>
    <w:rsid w:val="002A2D2A"/>
    <w:rsid w:val="002A2E5D"/>
    <w:rsid w:val="002A30A4"/>
    <w:rsid w:val="002A3481"/>
    <w:rsid w:val="002A36B9"/>
    <w:rsid w:val="002A38C6"/>
    <w:rsid w:val="002A393C"/>
    <w:rsid w:val="002A396B"/>
    <w:rsid w:val="002A3BD2"/>
    <w:rsid w:val="002A3D11"/>
    <w:rsid w:val="002A4132"/>
    <w:rsid w:val="002A4B69"/>
    <w:rsid w:val="002A5486"/>
    <w:rsid w:val="002A5F9C"/>
    <w:rsid w:val="002A61E0"/>
    <w:rsid w:val="002A634D"/>
    <w:rsid w:val="002A68A6"/>
    <w:rsid w:val="002A6905"/>
    <w:rsid w:val="002A7838"/>
    <w:rsid w:val="002B0456"/>
    <w:rsid w:val="002B092A"/>
    <w:rsid w:val="002B0C06"/>
    <w:rsid w:val="002B0C0F"/>
    <w:rsid w:val="002B0D78"/>
    <w:rsid w:val="002B10BB"/>
    <w:rsid w:val="002B17B6"/>
    <w:rsid w:val="002B1C9B"/>
    <w:rsid w:val="002B1D66"/>
    <w:rsid w:val="002B1EB1"/>
    <w:rsid w:val="002B2053"/>
    <w:rsid w:val="002B24A5"/>
    <w:rsid w:val="002B2975"/>
    <w:rsid w:val="002B2C24"/>
    <w:rsid w:val="002B2CDF"/>
    <w:rsid w:val="002B2D0B"/>
    <w:rsid w:val="002B30E2"/>
    <w:rsid w:val="002B342C"/>
    <w:rsid w:val="002B3539"/>
    <w:rsid w:val="002B3EFD"/>
    <w:rsid w:val="002B4835"/>
    <w:rsid w:val="002B4B08"/>
    <w:rsid w:val="002B4B93"/>
    <w:rsid w:val="002B4D0F"/>
    <w:rsid w:val="002B57E5"/>
    <w:rsid w:val="002B6002"/>
    <w:rsid w:val="002B63FB"/>
    <w:rsid w:val="002B6F31"/>
    <w:rsid w:val="002B7071"/>
    <w:rsid w:val="002B72B6"/>
    <w:rsid w:val="002B75D9"/>
    <w:rsid w:val="002C00BF"/>
    <w:rsid w:val="002C00DF"/>
    <w:rsid w:val="002C0280"/>
    <w:rsid w:val="002C0C30"/>
    <w:rsid w:val="002C0CBB"/>
    <w:rsid w:val="002C0E9F"/>
    <w:rsid w:val="002C1079"/>
    <w:rsid w:val="002C164C"/>
    <w:rsid w:val="002C1830"/>
    <w:rsid w:val="002C186D"/>
    <w:rsid w:val="002C1DEC"/>
    <w:rsid w:val="002C231A"/>
    <w:rsid w:val="002C2338"/>
    <w:rsid w:val="002C244B"/>
    <w:rsid w:val="002C2616"/>
    <w:rsid w:val="002C295B"/>
    <w:rsid w:val="002C33E9"/>
    <w:rsid w:val="002C3483"/>
    <w:rsid w:val="002C3C11"/>
    <w:rsid w:val="002C3FD8"/>
    <w:rsid w:val="002C4B1F"/>
    <w:rsid w:val="002C4BF4"/>
    <w:rsid w:val="002C5B1D"/>
    <w:rsid w:val="002C6639"/>
    <w:rsid w:val="002C6794"/>
    <w:rsid w:val="002C6C86"/>
    <w:rsid w:val="002C7DB5"/>
    <w:rsid w:val="002C7FE7"/>
    <w:rsid w:val="002D0B16"/>
    <w:rsid w:val="002D103D"/>
    <w:rsid w:val="002D1159"/>
    <w:rsid w:val="002D1790"/>
    <w:rsid w:val="002D1AE0"/>
    <w:rsid w:val="002D22CC"/>
    <w:rsid w:val="002D2390"/>
    <w:rsid w:val="002D256C"/>
    <w:rsid w:val="002D25E9"/>
    <w:rsid w:val="002D285F"/>
    <w:rsid w:val="002D2A61"/>
    <w:rsid w:val="002D2D13"/>
    <w:rsid w:val="002D338F"/>
    <w:rsid w:val="002D34B3"/>
    <w:rsid w:val="002D3807"/>
    <w:rsid w:val="002D39DF"/>
    <w:rsid w:val="002D3AB1"/>
    <w:rsid w:val="002D3E66"/>
    <w:rsid w:val="002D4199"/>
    <w:rsid w:val="002D445E"/>
    <w:rsid w:val="002D448B"/>
    <w:rsid w:val="002D49C6"/>
    <w:rsid w:val="002D4C1B"/>
    <w:rsid w:val="002D5024"/>
    <w:rsid w:val="002D5521"/>
    <w:rsid w:val="002D598D"/>
    <w:rsid w:val="002D5D53"/>
    <w:rsid w:val="002D65CA"/>
    <w:rsid w:val="002D6898"/>
    <w:rsid w:val="002D71F7"/>
    <w:rsid w:val="002D72AF"/>
    <w:rsid w:val="002D750E"/>
    <w:rsid w:val="002D798A"/>
    <w:rsid w:val="002D7FCC"/>
    <w:rsid w:val="002E0005"/>
    <w:rsid w:val="002E00C0"/>
    <w:rsid w:val="002E0249"/>
    <w:rsid w:val="002E0CF5"/>
    <w:rsid w:val="002E0D1D"/>
    <w:rsid w:val="002E0F1F"/>
    <w:rsid w:val="002E21AA"/>
    <w:rsid w:val="002E2D0A"/>
    <w:rsid w:val="002E2D0E"/>
    <w:rsid w:val="002E30E3"/>
    <w:rsid w:val="002E30F4"/>
    <w:rsid w:val="002E31CC"/>
    <w:rsid w:val="002E37EC"/>
    <w:rsid w:val="002E3DCE"/>
    <w:rsid w:val="002E3E47"/>
    <w:rsid w:val="002E3EFF"/>
    <w:rsid w:val="002E463B"/>
    <w:rsid w:val="002E738D"/>
    <w:rsid w:val="002E7C78"/>
    <w:rsid w:val="002E7F43"/>
    <w:rsid w:val="002F07FB"/>
    <w:rsid w:val="002F0BBA"/>
    <w:rsid w:val="002F0E2A"/>
    <w:rsid w:val="002F12EF"/>
    <w:rsid w:val="002F1451"/>
    <w:rsid w:val="002F1634"/>
    <w:rsid w:val="002F1895"/>
    <w:rsid w:val="002F1939"/>
    <w:rsid w:val="002F1DDB"/>
    <w:rsid w:val="002F1F2E"/>
    <w:rsid w:val="002F1FD4"/>
    <w:rsid w:val="002F235D"/>
    <w:rsid w:val="002F2AA4"/>
    <w:rsid w:val="002F2B84"/>
    <w:rsid w:val="002F2E9C"/>
    <w:rsid w:val="002F3045"/>
    <w:rsid w:val="002F339F"/>
    <w:rsid w:val="002F34D4"/>
    <w:rsid w:val="002F4139"/>
    <w:rsid w:val="002F47D0"/>
    <w:rsid w:val="002F4AB4"/>
    <w:rsid w:val="002F4E30"/>
    <w:rsid w:val="002F5023"/>
    <w:rsid w:val="002F57A4"/>
    <w:rsid w:val="002F5B6A"/>
    <w:rsid w:val="002F5C3D"/>
    <w:rsid w:val="002F615B"/>
    <w:rsid w:val="002F6633"/>
    <w:rsid w:val="002F6A1B"/>
    <w:rsid w:val="002F76CB"/>
    <w:rsid w:val="002F77A9"/>
    <w:rsid w:val="002F797C"/>
    <w:rsid w:val="002F7CFA"/>
    <w:rsid w:val="002F7E17"/>
    <w:rsid w:val="00300762"/>
    <w:rsid w:val="00300887"/>
    <w:rsid w:val="00300D37"/>
    <w:rsid w:val="00300EDC"/>
    <w:rsid w:val="0030130D"/>
    <w:rsid w:val="003019BD"/>
    <w:rsid w:val="00302F6E"/>
    <w:rsid w:val="00302FCC"/>
    <w:rsid w:val="003033FF"/>
    <w:rsid w:val="003034FB"/>
    <w:rsid w:val="00303A0F"/>
    <w:rsid w:val="00303B64"/>
    <w:rsid w:val="00303B81"/>
    <w:rsid w:val="0030452F"/>
    <w:rsid w:val="003045BD"/>
    <w:rsid w:val="00305009"/>
    <w:rsid w:val="003051ED"/>
    <w:rsid w:val="003053DB"/>
    <w:rsid w:val="003058BA"/>
    <w:rsid w:val="003059E5"/>
    <w:rsid w:val="00305AB9"/>
    <w:rsid w:val="00305B49"/>
    <w:rsid w:val="00305BF7"/>
    <w:rsid w:val="0030685E"/>
    <w:rsid w:val="0030690D"/>
    <w:rsid w:val="00306C4F"/>
    <w:rsid w:val="003072E5"/>
    <w:rsid w:val="00307475"/>
    <w:rsid w:val="00307483"/>
    <w:rsid w:val="003076FD"/>
    <w:rsid w:val="0030776E"/>
    <w:rsid w:val="00307836"/>
    <w:rsid w:val="0030784B"/>
    <w:rsid w:val="00307967"/>
    <w:rsid w:val="00307C88"/>
    <w:rsid w:val="00307CB9"/>
    <w:rsid w:val="00307E49"/>
    <w:rsid w:val="00307F5E"/>
    <w:rsid w:val="00307FF7"/>
    <w:rsid w:val="00310513"/>
    <w:rsid w:val="00311C53"/>
    <w:rsid w:val="00311DBC"/>
    <w:rsid w:val="0031247D"/>
    <w:rsid w:val="00312823"/>
    <w:rsid w:val="00312ABE"/>
    <w:rsid w:val="003130C3"/>
    <w:rsid w:val="00313675"/>
    <w:rsid w:val="0031397D"/>
    <w:rsid w:val="00313CE1"/>
    <w:rsid w:val="003145BF"/>
    <w:rsid w:val="00314691"/>
    <w:rsid w:val="0031484D"/>
    <w:rsid w:val="00314A20"/>
    <w:rsid w:val="00314BCC"/>
    <w:rsid w:val="00316982"/>
    <w:rsid w:val="00316B5F"/>
    <w:rsid w:val="00316E7E"/>
    <w:rsid w:val="00316EA2"/>
    <w:rsid w:val="0031708C"/>
    <w:rsid w:val="00317326"/>
    <w:rsid w:val="003173E3"/>
    <w:rsid w:val="00320179"/>
    <w:rsid w:val="003204A9"/>
    <w:rsid w:val="003205F4"/>
    <w:rsid w:val="0032061A"/>
    <w:rsid w:val="00320725"/>
    <w:rsid w:val="00320B03"/>
    <w:rsid w:val="00320EA6"/>
    <w:rsid w:val="003212D3"/>
    <w:rsid w:val="0032227B"/>
    <w:rsid w:val="0032229C"/>
    <w:rsid w:val="003225E4"/>
    <w:rsid w:val="00322991"/>
    <w:rsid w:val="00322CA6"/>
    <w:rsid w:val="00322D67"/>
    <w:rsid w:val="003231E4"/>
    <w:rsid w:val="00323E30"/>
    <w:rsid w:val="003242DF"/>
    <w:rsid w:val="00324A33"/>
    <w:rsid w:val="00324D0F"/>
    <w:rsid w:val="00325120"/>
    <w:rsid w:val="00325B93"/>
    <w:rsid w:val="00326493"/>
    <w:rsid w:val="00326B44"/>
    <w:rsid w:val="00326EB0"/>
    <w:rsid w:val="003275BF"/>
    <w:rsid w:val="003276BB"/>
    <w:rsid w:val="00327C75"/>
    <w:rsid w:val="00327D31"/>
    <w:rsid w:val="00330716"/>
    <w:rsid w:val="003308E9"/>
    <w:rsid w:val="0033098D"/>
    <w:rsid w:val="00330B0C"/>
    <w:rsid w:val="003314A5"/>
    <w:rsid w:val="003315E1"/>
    <w:rsid w:val="00331601"/>
    <w:rsid w:val="00331E79"/>
    <w:rsid w:val="003324BA"/>
    <w:rsid w:val="00332BB4"/>
    <w:rsid w:val="00333044"/>
    <w:rsid w:val="0033355A"/>
    <w:rsid w:val="00333936"/>
    <w:rsid w:val="00333AA6"/>
    <w:rsid w:val="00333B2D"/>
    <w:rsid w:val="003345A2"/>
    <w:rsid w:val="003351DA"/>
    <w:rsid w:val="00335A3C"/>
    <w:rsid w:val="00335D00"/>
    <w:rsid w:val="00335D0D"/>
    <w:rsid w:val="00336697"/>
    <w:rsid w:val="003368D4"/>
    <w:rsid w:val="00336DF1"/>
    <w:rsid w:val="00336E1D"/>
    <w:rsid w:val="0033729E"/>
    <w:rsid w:val="00337309"/>
    <w:rsid w:val="00337847"/>
    <w:rsid w:val="00337C44"/>
    <w:rsid w:val="0034028D"/>
    <w:rsid w:val="003403FC"/>
    <w:rsid w:val="00340595"/>
    <w:rsid w:val="00340851"/>
    <w:rsid w:val="00340955"/>
    <w:rsid w:val="003409FD"/>
    <w:rsid w:val="00340E29"/>
    <w:rsid w:val="00341076"/>
    <w:rsid w:val="003419FA"/>
    <w:rsid w:val="00341A82"/>
    <w:rsid w:val="00341B03"/>
    <w:rsid w:val="00342638"/>
    <w:rsid w:val="00342764"/>
    <w:rsid w:val="00342CE8"/>
    <w:rsid w:val="00342D48"/>
    <w:rsid w:val="0034383B"/>
    <w:rsid w:val="00343CEF"/>
    <w:rsid w:val="00343FFA"/>
    <w:rsid w:val="00344818"/>
    <w:rsid w:val="003449CF"/>
    <w:rsid w:val="00344BED"/>
    <w:rsid w:val="00344DE4"/>
    <w:rsid w:val="003450E2"/>
    <w:rsid w:val="0034529A"/>
    <w:rsid w:val="00345E22"/>
    <w:rsid w:val="003461A9"/>
    <w:rsid w:val="00346314"/>
    <w:rsid w:val="00346673"/>
    <w:rsid w:val="00346C83"/>
    <w:rsid w:val="00347527"/>
    <w:rsid w:val="00349769"/>
    <w:rsid w:val="003504EC"/>
    <w:rsid w:val="003505C7"/>
    <w:rsid w:val="00350E4C"/>
    <w:rsid w:val="00350F33"/>
    <w:rsid w:val="003518AB"/>
    <w:rsid w:val="00351E49"/>
    <w:rsid w:val="0035258A"/>
    <w:rsid w:val="00352682"/>
    <w:rsid w:val="00352C72"/>
    <w:rsid w:val="00353499"/>
    <w:rsid w:val="00353C4A"/>
    <w:rsid w:val="00353DAC"/>
    <w:rsid w:val="0035411C"/>
    <w:rsid w:val="0035483D"/>
    <w:rsid w:val="00354AAF"/>
    <w:rsid w:val="00354ABB"/>
    <w:rsid w:val="00355107"/>
    <w:rsid w:val="00355406"/>
    <w:rsid w:val="00355442"/>
    <w:rsid w:val="00355BC9"/>
    <w:rsid w:val="00355D24"/>
    <w:rsid w:val="00355F29"/>
    <w:rsid w:val="00356BCA"/>
    <w:rsid w:val="00356BE4"/>
    <w:rsid w:val="00356D5B"/>
    <w:rsid w:val="00356FAB"/>
    <w:rsid w:val="00357012"/>
    <w:rsid w:val="00357127"/>
    <w:rsid w:val="003571F1"/>
    <w:rsid w:val="003577B0"/>
    <w:rsid w:val="00357898"/>
    <w:rsid w:val="00357B6B"/>
    <w:rsid w:val="003600D3"/>
    <w:rsid w:val="0036041B"/>
    <w:rsid w:val="00360698"/>
    <w:rsid w:val="00360825"/>
    <w:rsid w:val="003609CC"/>
    <w:rsid w:val="00360C15"/>
    <w:rsid w:val="00361019"/>
    <w:rsid w:val="0036135A"/>
    <w:rsid w:val="00361400"/>
    <w:rsid w:val="003616A4"/>
    <w:rsid w:val="00361852"/>
    <w:rsid w:val="00361A9C"/>
    <w:rsid w:val="003620B8"/>
    <w:rsid w:val="0036235B"/>
    <w:rsid w:val="003623E8"/>
    <w:rsid w:val="00362B80"/>
    <w:rsid w:val="00363725"/>
    <w:rsid w:val="00363C33"/>
    <w:rsid w:val="00364A12"/>
    <w:rsid w:val="00364E68"/>
    <w:rsid w:val="00365268"/>
    <w:rsid w:val="00365743"/>
    <w:rsid w:val="00365898"/>
    <w:rsid w:val="00365AE9"/>
    <w:rsid w:val="00366226"/>
    <w:rsid w:val="00366421"/>
    <w:rsid w:val="00366605"/>
    <w:rsid w:val="00366C64"/>
    <w:rsid w:val="00367173"/>
    <w:rsid w:val="00367679"/>
    <w:rsid w:val="003679AD"/>
    <w:rsid w:val="00367CD0"/>
    <w:rsid w:val="00370058"/>
    <w:rsid w:val="0037022B"/>
    <w:rsid w:val="0037077E"/>
    <w:rsid w:val="00370B60"/>
    <w:rsid w:val="00371249"/>
    <w:rsid w:val="003712CC"/>
    <w:rsid w:val="00371559"/>
    <w:rsid w:val="00371B70"/>
    <w:rsid w:val="00371C41"/>
    <w:rsid w:val="00371CB1"/>
    <w:rsid w:val="00372251"/>
    <w:rsid w:val="0037249C"/>
    <w:rsid w:val="00372B22"/>
    <w:rsid w:val="00372F94"/>
    <w:rsid w:val="00373337"/>
    <w:rsid w:val="00373340"/>
    <w:rsid w:val="00373E62"/>
    <w:rsid w:val="00374060"/>
    <w:rsid w:val="003744AF"/>
    <w:rsid w:val="0037473E"/>
    <w:rsid w:val="00374DB7"/>
    <w:rsid w:val="00374E43"/>
    <w:rsid w:val="00375350"/>
    <w:rsid w:val="00375880"/>
    <w:rsid w:val="00375B5A"/>
    <w:rsid w:val="00375B9C"/>
    <w:rsid w:val="00376790"/>
    <w:rsid w:val="003769E5"/>
    <w:rsid w:val="00376CD0"/>
    <w:rsid w:val="003773E5"/>
    <w:rsid w:val="003774F3"/>
    <w:rsid w:val="003779D2"/>
    <w:rsid w:val="00377EB8"/>
    <w:rsid w:val="003808A5"/>
    <w:rsid w:val="00380AB7"/>
    <w:rsid w:val="00380EE2"/>
    <w:rsid w:val="00381337"/>
    <w:rsid w:val="00381509"/>
    <w:rsid w:val="00381B65"/>
    <w:rsid w:val="00381C76"/>
    <w:rsid w:val="0038202C"/>
    <w:rsid w:val="0038244A"/>
    <w:rsid w:val="0038298C"/>
    <w:rsid w:val="00382A06"/>
    <w:rsid w:val="00382F4C"/>
    <w:rsid w:val="00383955"/>
    <w:rsid w:val="00383A93"/>
    <w:rsid w:val="00383FD3"/>
    <w:rsid w:val="0038440A"/>
    <w:rsid w:val="00384680"/>
    <w:rsid w:val="00384835"/>
    <w:rsid w:val="00384A19"/>
    <w:rsid w:val="0038531A"/>
    <w:rsid w:val="00385401"/>
    <w:rsid w:val="00385564"/>
    <w:rsid w:val="00385740"/>
    <w:rsid w:val="00385BA0"/>
    <w:rsid w:val="00385CD6"/>
    <w:rsid w:val="003864E8"/>
    <w:rsid w:val="00386B61"/>
    <w:rsid w:val="00386E3C"/>
    <w:rsid w:val="00387445"/>
    <w:rsid w:val="003874A0"/>
    <w:rsid w:val="0038779F"/>
    <w:rsid w:val="003877AE"/>
    <w:rsid w:val="00387857"/>
    <w:rsid w:val="00387969"/>
    <w:rsid w:val="00387B0B"/>
    <w:rsid w:val="00387C78"/>
    <w:rsid w:val="0039038C"/>
    <w:rsid w:val="0039060D"/>
    <w:rsid w:val="00390B4F"/>
    <w:rsid w:val="00390E0F"/>
    <w:rsid w:val="00391193"/>
    <w:rsid w:val="00391495"/>
    <w:rsid w:val="003917E3"/>
    <w:rsid w:val="003918B1"/>
    <w:rsid w:val="0039192E"/>
    <w:rsid w:val="00392223"/>
    <w:rsid w:val="00392257"/>
    <w:rsid w:val="0039283D"/>
    <w:rsid w:val="003928A6"/>
    <w:rsid w:val="00392FC6"/>
    <w:rsid w:val="003930F0"/>
    <w:rsid w:val="00393327"/>
    <w:rsid w:val="00393374"/>
    <w:rsid w:val="00393CC4"/>
    <w:rsid w:val="0039436B"/>
    <w:rsid w:val="00394512"/>
    <w:rsid w:val="003946C3"/>
    <w:rsid w:val="00394A25"/>
    <w:rsid w:val="00394CD1"/>
    <w:rsid w:val="0039520B"/>
    <w:rsid w:val="003952BE"/>
    <w:rsid w:val="0039595F"/>
    <w:rsid w:val="00395A7E"/>
    <w:rsid w:val="00395C7D"/>
    <w:rsid w:val="00396252"/>
    <w:rsid w:val="003966F3"/>
    <w:rsid w:val="00396D66"/>
    <w:rsid w:val="00397307"/>
    <w:rsid w:val="003973E3"/>
    <w:rsid w:val="00397665"/>
    <w:rsid w:val="003A01C2"/>
    <w:rsid w:val="003A040D"/>
    <w:rsid w:val="003A05EA"/>
    <w:rsid w:val="003A0C91"/>
    <w:rsid w:val="003A0DC9"/>
    <w:rsid w:val="003A0E82"/>
    <w:rsid w:val="003A10CA"/>
    <w:rsid w:val="003A1590"/>
    <w:rsid w:val="003A193C"/>
    <w:rsid w:val="003A19A6"/>
    <w:rsid w:val="003A1BCF"/>
    <w:rsid w:val="003A217F"/>
    <w:rsid w:val="003A26CF"/>
    <w:rsid w:val="003A2804"/>
    <w:rsid w:val="003A2D5D"/>
    <w:rsid w:val="003A3018"/>
    <w:rsid w:val="003A30B3"/>
    <w:rsid w:val="003A31C3"/>
    <w:rsid w:val="003A34C6"/>
    <w:rsid w:val="003A3CA1"/>
    <w:rsid w:val="003A3EB9"/>
    <w:rsid w:val="003A4250"/>
    <w:rsid w:val="003A4432"/>
    <w:rsid w:val="003A515F"/>
    <w:rsid w:val="003A528B"/>
    <w:rsid w:val="003A60EF"/>
    <w:rsid w:val="003A630E"/>
    <w:rsid w:val="003A6B36"/>
    <w:rsid w:val="003A6CD1"/>
    <w:rsid w:val="003A718D"/>
    <w:rsid w:val="003A7D0B"/>
    <w:rsid w:val="003A7E9A"/>
    <w:rsid w:val="003B0046"/>
    <w:rsid w:val="003B00FE"/>
    <w:rsid w:val="003B0548"/>
    <w:rsid w:val="003B05D8"/>
    <w:rsid w:val="003B068B"/>
    <w:rsid w:val="003B0A0C"/>
    <w:rsid w:val="003B0A9C"/>
    <w:rsid w:val="003B0E30"/>
    <w:rsid w:val="003B1E2A"/>
    <w:rsid w:val="003B2072"/>
    <w:rsid w:val="003B272B"/>
    <w:rsid w:val="003B29E1"/>
    <w:rsid w:val="003B2D8F"/>
    <w:rsid w:val="003B3034"/>
    <w:rsid w:val="003B30A8"/>
    <w:rsid w:val="003B3196"/>
    <w:rsid w:val="003B348F"/>
    <w:rsid w:val="003B4017"/>
    <w:rsid w:val="003B447C"/>
    <w:rsid w:val="003B5160"/>
    <w:rsid w:val="003B517C"/>
    <w:rsid w:val="003B560D"/>
    <w:rsid w:val="003B572B"/>
    <w:rsid w:val="003B58D7"/>
    <w:rsid w:val="003B5D80"/>
    <w:rsid w:val="003B5E18"/>
    <w:rsid w:val="003B6844"/>
    <w:rsid w:val="003B6E89"/>
    <w:rsid w:val="003B7665"/>
    <w:rsid w:val="003B77A4"/>
    <w:rsid w:val="003B7DC0"/>
    <w:rsid w:val="003C04C5"/>
    <w:rsid w:val="003C084D"/>
    <w:rsid w:val="003C0A18"/>
    <w:rsid w:val="003C0CE7"/>
    <w:rsid w:val="003C0DD6"/>
    <w:rsid w:val="003C0F6E"/>
    <w:rsid w:val="003C0F81"/>
    <w:rsid w:val="003C117E"/>
    <w:rsid w:val="003C1234"/>
    <w:rsid w:val="003C279F"/>
    <w:rsid w:val="003C299A"/>
    <w:rsid w:val="003C2DC0"/>
    <w:rsid w:val="003C33D9"/>
    <w:rsid w:val="003C3847"/>
    <w:rsid w:val="003C4084"/>
    <w:rsid w:val="003C4F11"/>
    <w:rsid w:val="003C50A9"/>
    <w:rsid w:val="003C5286"/>
    <w:rsid w:val="003C57E4"/>
    <w:rsid w:val="003C5917"/>
    <w:rsid w:val="003C599A"/>
    <w:rsid w:val="003C68CE"/>
    <w:rsid w:val="003C6A20"/>
    <w:rsid w:val="003C6A69"/>
    <w:rsid w:val="003C751C"/>
    <w:rsid w:val="003C777C"/>
    <w:rsid w:val="003C7F2E"/>
    <w:rsid w:val="003D04ED"/>
    <w:rsid w:val="003D0854"/>
    <w:rsid w:val="003D13BB"/>
    <w:rsid w:val="003D149A"/>
    <w:rsid w:val="003D1795"/>
    <w:rsid w:val="003D18C9"/>
    <w:rsid w:val="003D1CB3"/>
    <w:rsid w:val="003D2038"/>
    <w:rsid w:val="003D2CD2"/>
    <w:rsid w:val="003D2FD0"/>
    <w:rsid w:val="003D3A19"/>
    <w:rsid w:val="003D3AE1"/>
    <w:rsid w:val="003D3BD3"/>
    <w:rsid w:val="003D3DC2"/>
    <w:rsid w:val="003D3E81"/>
    <w:rsid w:val="003D40A3"/>
    <w:rsid w:val="003D43CB"/>
    <w:rsid w:val="003D45E4"/>
    <w:rsid w:val="003D537D"/>
    <w:rsid w:val="003D57AA"/>
    <w:rsid w:val="003D5986"/>
    <w:rsid w:val="003D5F1C"/>
    <w:rsid w:val="003D63A1"/>
    <w:rsid w:val="003D723F"/>
    <w:rsid w:val="003D792A"/>
    <w:rsid w:val="003D7C7A"/>
    <w:rsid w:val="003D7ECD"/>
    <w:rsid w:val="003E02DD"/>
    <w:rsid w:val="003E0552"/>
    <w:rsid w:val="003E0665"/>
    <w:rsid w:val="003E1589"/>
    <w:rsid w:val="003E1862"/>
    <w:rsid w:val="003E1C49"/>
    <w:rsid w:val="003E2A04"/>
    <w:rsid w:val="003E2CA5"/>
    <w:rsid w:val="003E3C7D"/>
    <w:rsid w:val="003E3DEA"/>
    <w:rsid w:val="003E4303"/>
    <w:rsid w:val="003E4498"/>
    <w:rsid w:val="003E5010"/>
    <w:rsid w:val="003E62BB"/>
    <w:rsid w:val="003E6589"/>
    <w:rsid w:val="003E6695"/>
    <w:rsid w:val="003E6D75"/>
    <w:rsid w:val="003E6E21"/>
    <w:rsid w:val="003E6EFE"/>
    <w:rsid w:val="003E74F4"/>
    <w:rsid w:val="003E7522"/>
    <w:rsid w:val="003E7631"/>
    <w:rsid w:val="003E7983"/>
    <w:rsid w:val="003E7A3C"/>
    <w:rsid w:val="003E7C1C"/>
    <w:rsid w:val="003F077F"/>
    <w:rsid w:val="003F0EE8"/>
    <w:rsid w:val="003F1085"/>
    <w:rsid w:val="003F1239"/>
    <w:rsid w:val="003F1332"/>
    <w:rsid w:val="003F13D3"/>
    <w:rsid w:val="003F14CC"/>
    <w:rsid w:val="003F15A6"/>
    <w:rsid w:val="003F15BE"/>
    <w:rsid w:val="003F24E6"/>
    <w:rsid w:val="003F275C"/>
    <w:rsid w:val="003F2965"/>
    <w:rsid w:val="003F2D79"/>
    <w:rsid w:val="003F304B"/>
    <w:rsid w:val="003F329A"/>
    <w:rsid w:val="003F3BFF"/>
    <w:rsid w:val="003F3E96"/>
    <w:rsid w:val="003F40F1"/>
    <w:rsid w:val="003F414A"/>
    <w:rsid w:val="003F44A7"/>
    <w:rsid w:val="003F4640"/>
    <w:rsid w:val="003F4AA9"/>
    <w:rsid w:val="003F4C81"/>
    <w:rsid w:val="003F4EAB"/>
    <w:rsid w:val="003F5C61"/>
    <w:rsid w:val="003F5CF1"/>
    <w:rsid w:val="003F5EB5"/>
    <w:rsid w:val="003F6513"/>
    <w:rsid w:val="003F694E"/>
    <w:rsid w:val="003F74A8"/>
    <w:rsid w:val="003F755A"/>
    <w:rsid w:val="003F7F35"/>
    <w:rsid w:val="003F7F5C"/>
    <w:rsid w:val="00400456"/>
    <w:rsid w:val="00400624"/>
    <w:rsid w:val="00401140"/>
    <w:rsid w:val="00401454"/>
    <w:rsid w:val="00401B00"/>
    <w:rsid w:val="00401C15"/>
    <w:rsid w:val="00401FD1"/>
    <w:rsid w:val="0040213D"/>
    <w:rsid w:val="004027C7"/>
    <w:rsid w:val="00402844"/>
    <w:rsid w:val="00402DD8"/>
    <w:rsid w:val="004030DD"/>
    <w:rsid w:val="00403197"/>
    <w:rsid w:val="004032E6"/>
    <w:rsid w:val="0040365C"/>
    <w:rsid w:val="0040365D"/>
    <w:rsid w:val="00403719"/>
    <w:rsid w:val="00403B86"/>
    <w:rsid w:val="00403B9D"/>
    <w:rsid w:val="00403C8E"/>
    <w:rsid w:val="00403ED2"/>
    <w:rsid w:val="00403F06"/>
    <w:rsid w:val="004045B9"/>
    <w:rsid w:val="004047F5"/>
    <w:rsid w:val="00405AD5"/>
    <w:rsid w:val="00405AEE"/>
    <w:rsid w:val="00405F83"/>
    <w:rsid w:val="00406FCD"/>
    <w:rsid w:val="0040790B"/>
    <w:rsid w:val="00407969"/>
    <w:rsid w:val="00407970"/>
    <w:rsid w:val="00407AB1"/>
    <w:rsid w:val="00407DCE"/>
    <w:rsid w:val="004102B9"/>
    <w:rsid w:val="00410405"/>
    <w:rsid w:val="00410519"/>
    <w:rsid w:val="00410DD7"/>
    <w:rsid w:val="00411183"/>
    <w:rsid w:val="0041149D"/>
    <w:rsid w:val="00411C23"/>
    <w:rsid w:val="00411FDA"/>
    <w:rsid w:val="00412609"/>
    <w:rsid w:val="00412C39"/>
    <w:rsid w:val="00412F5F"/>
    <w:rsid w:val="004140E4"/>
    <w:rsid w:val="00414299"/>
    <w:rsid w:val="004142C2"/>
    <w:rsid w:val="0041434C"/>
    <w:rsid w:val="00414488"/>
    <w:rsid w:val="00414594"/>
    <w:rsid w:val="00414DB1"/>
    <w:rsid w:val="00415159"/>
    <w:rsid w:val="00415862"/>
    <w:rsid w:val="00415946"/>
    <w:rsid w:val="00415995"/>
    <w:rsid w:val="00415BEC"/>
    <w:rsid w:val="00416081"/>
    <w:rsid w:val="0041609A"/>
    <w:rsid w:val="004160A7"/>
    <w:rsid w:val="00416265"/>
    <w:rsid w:val="004168FD"/>
    <w:rsid w:val="00416AD5"/>
    <w:rsid w:val="00417838"/>
    <w:rsid w:val="00417916"/>
    <w:rsid w:val="004200E3"/>
    <w:rsid w:val="00420394"/>
    <w:rsid w:val="004203F8"/>
    <w:rsid w:val="004207AA"/>
    <w:rsid w:val="00420F89"/>
    <w:rsid w:val="00421336"/>
    <w:rsid w:val="004214BE"/>
    <w:rsid w:val="0042151B"/>
    <w:rsid w:val="00421F88"/>
    <w:rsid w:val="004224CF"/>
    <w:rsid w:val="004226D4"/>
    <w:rsid w:val="00422AAD"/>
    <w:rsid w:val="00423097"/>
    <w:rsid w:val="00423746"/>
    <w:rsid w:val="00423788"/>
    <w:rsid w:val="004238CE"/>
    <w:rsid w:val="004239C1"/>
    <w:rsid w:val="00423B4D"/>
    <w:rsid w:val="00423D41"/>
    <w:rsid w:val="00424497"/>
    <w:rsid w:val="004245AC"/>
    <w:rsid w:val="0042495C"/>
    <w:rsid w:val="0042526F"/>
    <w:rsid w:val="0042592F"/>
    <w:rsid w:val="004261D4"/>
    <w:rsid w:val="00427385"/>
    <w:rsid w:val="00427719"/>
    <w:rsid w:val="00427C12"/>
    <w:rsid w:val="00430343"/>
    <w:rsid w:val="00430BDC"/>
    <w:rsid w:val="004310C5"/>
    <w:rsid w:val="004311D3"/>
    <w:rsid w:val="004312B2"/>
    <w:rsid w:val="0043144A"/>
    <w:rsid w:val="00431748"/>
    <w:rsid w:val="00431B3D"/>
    <w:rsid w:val="00431B89"/>
    <w:rsid w:val="00431DB3"/>
    <w:rsid w:val="0043259B"/>
    <w:rsid w:val="0043281F"/>
    <w:rsid w:val="00432D3B"/>
    <w:rsid w:val="00432FC4"/>
    <w:rsid w:val="0043349C"/>
    <w:rsid w:val="00433CD5"/>
    <w:rsid w:val="00433F6C"/>
    <w:rsid w:val="00434638"/>
    <w:rsid w:val="004347C3"/>
    <w:rsid w:val="004348BA"/>
    <w:rsid w:val="00434CA9"/>
    <w:rsid w:val="0043505D"/>
    <w:rsid w:val="004351CD"/>
    <w:rsid w:val="0043557B"/>
    <w:rsid w:val="00435D30"/>
    <w:rsid w:val="00435EDF"/>
    <w:rsid w:val="00436753"/>
    <w:rsid w:val="004369E1"/>
    <w:rsid w:val="00437547"/>
    <w:rsid w:val="004378CC"/>
    <w:rsid w:val="00437A47"/>
    <w:rsid w:val="00437E19"/>
    <w:rsid w:val="0044061E"/>
    <w:rsid w:val="004406C5"/>
    <w:rsid w:val="00441002"/>
    <w:rsid w:val="00441559"/>
    <w:rsid w:val="0044183C"/>
    <w:rsid w:val="004419D6"/>
    <w:rsid w:val="00441DD1"/>
    <w:rsid w:val="00441F66"/>
    <w:rsid w:val="004420D8"/>
    <w:rsid w:val="004424E8"/>
    <w:rsid w:val="00442765"/>
    <w:rsid w:val="00442940"/>
    <w:rsid w:val="00442A8E"/>
    <w:rsid w:val="00442BF7"/>
    <w:rsid w:val="00442C96"/>
    <w:rsid w:val="00442CEF"/>
    <w:rsid w:val="00442DDA"/>
    <w:rsid w:val="00442DFE"/>
    <w:rsid w:val="00443574"/>
    <w:rsid w:val="004436E5"/>
    <w:rsid w:val="00443A22"/>
    <w:rsid w:val="00443A57"/>
    <w:rsid w:val="00443CC7"/>
    <w:rsid w:val="00444140"/>
    <w:rsid w:val="004441D6"/>
    <w:rsid w:val="00444558"/>
    <w:rsid w:val="00444624"/>
    <w:rsid w:val="00444E65"/>
    <w:rsid w:val="004457C2"/>
    <w:rsid w:val="00446072"/>
    <w:rsid w:val="00446592"/>
    <w:rsid w:val="0044780E"/>
    <w:rsid w:val="00447B82"/>
    <w:rsid w:val="004505C5"/>
    <w:rsid w:val="00450636"/>
    <w:rsid w:val="00450AD1"/>
    <w:rsid w:val="00450B1E"/>
    <w:rsid w:val="0045141B"/>
    <w:rsid w:val="004519DE"/>
    <w:rsid w:val="00451C9C"/>
    <w:rsid w:val="00451CE1"/>
    <w:rsid w:val="00451D99"/>
    <w:rsid w:val="00451E70"/>
    <w:rsid w:val="004521E5"/>
    <w:rsid w:val="00452ADE"/>
    <w:rsid w:val="00452D85"/>
    <w:rsid w:val="00452F3E"/>
    <w:rsid w:val="00452FA9"/>
    <w:rsid w:val="00453660"/>
    <w:rsid w:val="0045383B"/>
    <w:rsid w:val="0045384E"/>
    <w:rsid w:val="00453AC1"/>
    <w:rsid w:val="00454099"/>
    <w:rsid w:val="00454914"/>
    <w:rsid w:val="00454EDA"/>
    <w:rsid w:val="00455E97"/>
    <w:rsid w:val="00456733"/>
    <w:rsid w:val="004569BE"/>
    <w:rsid w:val="00456F32"/>
    <w:rsid w:val="0045732A"/>
    <w:rsid w:val="00457A52"/>
    <w:rsid w:val="00457F8C"/>
    <w:rsid w:val="00460002"/>
    <w:rsid w:val="00460430"/>
    <w:rsid w:val="00460B58"/>
    <w:rsid w:val="00460E89"/>
    <w:rsid w:val="0046170B"/>
    <w:rsid w:val="00461CFD"/>
    <w:rsid w:val="00461DAE"/>
    <w:rsid w:val="00462260"/>
    <w:rsid w:val="0046226C"/>
    <w:rsid w:val="00462697"/>
    <w:rsid w:val="004628D0"/>
    <w:rsid w:val="00462D04"/>
    <w:rsid w:val="00462D8F"/>
    <w:rsid w:val="00462FFD"/>
    <w:rsid w:val="00463522"/>
    <w:rsid w:val="0046401B"/>
    <w:rsid w:val="00464282"/>
    <w:rsid w:val="004642C6"/>
    <w:rsid w:val="004646B9"/>
    <w:rsid w:val="00464999"/>
    <w:rsid w:val="00464BE5"/>
    <w:rsid w:val="00464D29"/>
    <w:rsid w:val="00464E9C"/>
    <w:rsid w:val="00465358"/>
    <w:rsid w:val="004655C8"/>
    <w:rsid w:val="004658D5"/>
    <w:rsid w:val="00465A10"/>
    <w:rsid w:val="00466076"/>
    <w:rsid w:val="00466352"/>
    <w:rsid w:val="00466C2E"/>
    <w:rsid w:val="00466E76"/>
    <w:rsid w:val="004670C1"/>
    <w:rsid w:val="00467284"/>
    <w:rsid w:val="00467776"/>
    <w:rsid w:val="004677A9"/>
    <w:rsid w:val="00467957"/>
    <w:rsid w:val="00467D70"/>
    <w:rsid w:val="00467F8A"/>
    <w:rsid w:val="00470049"/>
    <w:rsid w:val="004701CF"/>
    <w:rsid w:val="004704CF"/>
    <w:rsid w:val="004706D3"/>
    <w:rsid w:val="00470A8A"/>
    <w:rsid w:val="00470E33"/>
    <w:rsid w:val="004711F8"/>
    <w:rsid w:val="00471636"/>
    <w:rsid w:val="004716D5"/>
    <w:rsid w:val="0047184B"/>
    <w:rsid w:val="00471DE0"/>
    <w:rsid w:val="00471E64"/>
    <w:rsid w:val="00472182"/>
    <w:rsid w:val="004721CF"/>
    <w:rsid w:val="00472238"/>
    <w:rsid w:val="0047229B"/>
    <w:rsid w:val="00472434"/>
    <w:rsid w:val="00472727"/>
    <w:rsid w:val="00472990"/>
    <w:rsid w:val="00472ACA"/>
    <w:rsid w:val="00472EDC"/>
    <w:rsid w:val="00472FAF"/>
    <w:rsid w:val="00472FB2"/>
    <w:rsid w:val="0047307E"/>
    <w:rsid w:val="00473542"/>
    <w:rsid w:val="004736AA"/>
    <w:rsid w:val="0047415E"/>
    <w:rsid w:val="00474853"/>
    <w:rsid w:val="00474DD0"/>
    <w:rsid w:val="004752E1"/>
    <w:rsid w:val="00475351"/>
    <w:rsid w:val="00475493"/>
    <w:rsid w:val="00475709"/>
    <w:rsid w:val="00475CE3"/>
    <w:rsid w:val="00476501"/>
    <w:rsid w:val="00476A25"/>
    <w:rsid w:val="00476C9E"/>
    <w:rsid w:val="00476CF7"/>
    <w:rsid w:val="004771B5"/>
    <w:rsid w:val="0047798C"/>
    <w:rsid w:val="004801C9"/>
    <w:rsid w:val="004804D3"/>
    <w:rsid w:val="00480A5F"/>
    <w:rsid w:val="00480CEC"/>
    <w:rsid w:val="0048119E"/>
    <w:rsid w:val="00481899"/>
    <w:rsid w:val="00481A04"/>
    <w:rsid w:val="00481D14"/>
    <w:rsid w:val="004820E7"/>
    <w:rsid w:val="00482414"/>
    <w:rsid w:val="00482489"/>
    <w:rsid w:val="00482BBC"/>
    <w:rsid w:val="00482C77"/>
    <w:rsid w:val="00482F9D"/>
    <w:rsid w:val="0048338D"/>
    <w:rsid w:val="00483412"/>
    <w:rsid w:val="004835D8"/>
    <w:rsid w:val="0048376B"/>
    <w:rsid w:val="00483795"/>
    <w:rsid w:val="00483A9F"/>
    <w:rsid w:val="00483BEC"/>
    <w:rsid w:val="00483F65"/>
    <w:rsid w:val="004841C3"/>
    <w:rsid w:val="00484B8B"/>
    <w:rsid w:val="00484F90"/>
    <w:rsid w:val="00484FFE"/>
    <w:rsid w:val="00485116"/>
    <w:rsid w:val="0048557B"/>
    <w:rsid w:val="00485CEE"/>
    <w:rsid w:val="004860DB"/>
    <w:rsid w:val="004862CF"/>
    <w:rsid w:val="004863A5"/>
    <w:rsid w:val="00486BEA"/>
    <w:rsid w:val="0048723F"/>
    <w:rsid w:val="00487414"/>
    <w:rsid w:val="00487521"/>
    <w:rsid w:val="00487741"/>
    <w:rsid w:val="0048784B"/>
    <w:rsid w:val="0048787B"/>
    <w:rsid w:val="00487F55"/>
    <w:rsid w:val="004901F7"/>
    <w:rsid w:val="00490624"/>
    <w:rsid w:val="004907BA"/>
    <w:rsid w:val="0049110A"/>
    <w:rsid w:val="0049136A"/>
    <w:rsid w:val="00491D7D"/>
    <w:rsid w:val="0049220D"/>
    <w:rsid w:val="00492316"/>
    <w:rsid w:val="00492384"/>
    <w:rsid w:val="004923A5"/>
    <w:rsid w:val="0049261B"/>
    <w:rsid w:val="00493E60"/>
    <w:rsid w:val="00493EDD"/>
    <w:rsid w:val="0049465E"/>
    <w:rsid w:val="00494703"/>
    <w:rsid w:val="00494844"/>
    <w:rsid w:val="00494CF8"/>
    <w:rsid w:val="0049510A"/>
    <w:rsid w:val="00495113"/>
    <w:rsid w:val="0049517B"/>
    <w:rsid w:val="004956F6"/>
    <w:rsid w:val="004961BA"/>
    <w:rsid w:val="004965A3"/>
    <w:rsid w:val="00496C49"/>
    <w:rsid w:val="00496F72"/>
    <w:rsid w:val="0049703D"/>
    <w:rsid w:val="0049704E"/>
    <w:rsid w:val="00497211"/>
    <w:rsid w:val="00497400"/>
    <w:rsid w:val="00497CDF"/>
    <w:rsid w:val="004A0480"/>
    <w:rsid w:val="004A0A06"/>
    <w:rsid w:val="004A0F9B"/>
    <w:rsid w:val="004A101F"/>
    <w:rsid w:val="004A1054"/>
    <w:rsid w:val="004A1201"/>
    <w:rsid w:val="004A12C8"/>
    <w:rsid w:val="004A14C8"/>
    <w:rsid w:val="004A1713"/>
    <w:rsid w:val="004A19E5"/>
    <w:rsid w:val="004A1B60"/>
    <w:rsid w:val="004A1C7A"/>
    <w:rsid w:val="004A1E5B"/>
    <w:rsid w:val="004A2388"/>
    <w:rsid w:val="004A24F1"/>
    <w:rsid w:val="004A2928"/>
    <w:rsid w:val="004A2DD1"/>
    <w:rsid w:val="004A3320"/>
    <w:rsid w:val="004A3F51"/>
    <w:rsid w:val="004A413C"/>
    <w:rsid w:val="004A42AE"/>
    <w:rsid w:val="004A48A5"/>
    <w:rsid w:val="004A4A4B"/>
    <w:rsid w:val="004A4FD6"/>
    <w:rsid w:val="004A5562"/>
    <w:rsid w:val="004A556A"/>
    <w:rsid w:val="004A5A5D"/>
    <w:rsid w:val="004A5D8B"/>
    <w:rsid w:val="004A60F6"/>
    <w:rsid w:val="004A61AB"/>
    <w:rsid w:val="004A63F4"/>
    <w:rsid w:val="004A6C12"/>
    <w:rsid w:val="004A6C24"/>
    <w:rsid w:val="004A6E58"/>
    <w:rsid w:val="004A709B"/>
    <w:rsid w:val="004A77B5"/>
    <w:rsid w:val="004A78AE"/>
    <w:rsid w:val="004A78EC"/>
    <w:rsid w:val="004A7CE5"/>
    <w:rsid w:val="004B0049"/>
    <w:rsid w:val="004B0111"/>
    <w:rsid w:val="004B07AC"/>
    <w:rsid w:val="004B1347"/>
    <w:rsid w:val="004B1966"/>
    <w:rsid w:val="004B287D"/>
    <w:rsid w:val="004B2A33"/>
    <w:rsid w:val="004B2A92"/>
    <w:rsid w:val="004B2F30"/>
    <w:rsid w:val="004B319B"/>
    <w:rsid w:val="004B3397"/>
    <w:rsid w:val="004B33FE"/>
    <w:rsid w:val="004B38BC"/>
    <w:rsid w:val="004B3DD3"/>
    <w:rsid w:val="004B3DED"/>
    <w:rsid w:val="004B41BE"/>
    <w:rsid w:val="004B448F"/>
    <w:rsid w:val="004B4869"/>
    <w:rsid w:val="004B493A"/>
    <w:rsid w:val="004B4C59"/>
    <w:rsid w:val="004B4CC4"/>
    <w:rsid w:val="004B4FB2"/>
    <w:rsid w:val="004B51B5"/>
    <w:rsid w:val="004B54AF"/>
    <w:rsid w:val="004B5CC0"/>
    <w:rsid w:val="004B5D28"/>
    <w:rsid w:val="004B62E7"/>
    <w:rsid w:val="004B642B"/>
    <w:rsid w:val="004B649F"/>
    <w:rsid w:val="004B65CF"/>
    <w:rsid w:val="004B6C7D"/>
    <w:rsid w:val="004B6E8E"/>
    <w:rsid w:val="004B78E8"/>
    <w:rsid w:val="004B7A2D"/>
    <w:rsid w:val="004C034C"/>
    <w:rsid w:val="004C0645"/>
    <w:rsid w:val="004C0693"/>
    <w:rsid w:val="004C07D7"/>
    <w:rsid w:val="004C0A6B"/>
    <w:rsid w:val="004C0BAB"/>
    <w:rsid w:val="004C0C4A"/>
    <w:rsid w:val="004C0D1E"/>
    <w:rsid w:val="004C0E46"/>
    <w:rsid w:val="004C1224"/>
    <w:rsid w:val="004C1584"/>
    <w:rsid w:val="004C1C74"/>
    <w:rsid w:val="004C255C"/>
    <w:rsid w:val="004C25F9"/>
    <w:rsid w:val="004C28EC"/>
    <w:rsid w:val="004C2A53"/>
    <w:rsid w:val="004C2BE2"/>
    <w:rsid w:val="004C3169"/>
    <w:rsid w:val="004C31AE"/>
    <w:rsid w:val="004C3852"/>
    <w:rsid w:val="004C396B"/>
    <w:rsid w:val="004C4157"/>
    <w:rsid w:val="004C496A"/>
    <w:rsid w:val="004C5B27"/>
    <w:rsid w:val="004C5C7B"/>
    <w:rsid w:val="004C5E1D"/>
    <w:rsid w:val="004C60BE"/>
    <w:rsid w:val="004C6692"/>
    <w:rsid w:val="004C68FD"/>
    <w:rsid w:val="004C6CBC"/>
    <w:rsid w:val="004C6DB5"/>
    <w:rsid w:val="004C708F"/>
    <w:rsid w:val="004C7C56"/>
    <w:rsid w:val="004C7EE1"/>
    <w:rsid w:val="004D0293"/>
    <w:rsid w:val="004D03D4"/>
    <w:rsid w:val="004D0AED"/>
    <w:rsid w:val="004D131D"/>
    <w:rsid w:val="004D148D"/>
    <w:rsid w:val="004D26CD"/>
    <w:rsid w:val="004D2E1F"/>
    <w:rsid w:val="004D2E84"/>
    <w:rsid w:val="004D309A"/>
    <w:rsid w:val="004D3196"/>
    <w:rsid w:val="004D3D4E"/>
    <w:rsid w:val="004D3EA9"/>
    <w:rsid w:val="004D4659"/>
    <w:rsid w:val="004D4984"/>
    <w:rsid w:val="004D4A0B"/>
    <w:rsid w:val="004D4AF1"/>
    <w:rsid w:val="004D4D9A"/>
    <w:rsid w:val="004D5791"/>
    <w:rsid w:val="004D5B1F"/>
    <w:rsid w:val="004D5BD8"/>
    <w:rsid w:val="004D646A"/>
    <w:rsid w:val="004D6883"/>
    <w:rsid w:val="004D6AFE"/>
    <w:rsid w:val="004D6BED"/>
    <w:rsid w:val="004D6E5F"/>
    <w:rsid w:val="004D77A2"/>
    <w:rsid w:val="004D77EC"/>
    <w:rsid w:val="004D78EA"/>
    <w:rsid w:val="004D7C1C"/>
    <w:rsid w:val="004D7FC2"/>
    <w:rsid w:val="004E02E7"/>
    <w:rsid w:val="004E0655"/>
    <w:rsid w:val="004E0BA6"/>
    <w:rsid w:val="004E1735"/>
    <w:rsid w:val="004E2592"/>
    <w:rsid w:val="004E2ABA"/>
    <w:rsid w:val="004E30C2"/>
    <w:rsid w:val="004E31CB"/>
    <w:rsid w:val="004E33BB"/>
    <w:rsid w:val="004E340F"/>
    <w:rsid w:val="004E34DE"/>
    <w:rsid w:val="004E3577"/>
    <w:rsid w:val="004E3663"/>
    <w:rsid w:val="004E4168"/>
    <w:rsid w:val="004E4413"/>
    <w:rsid w:val="004E46DF"/>
    <w:rsid w:val="004E47E0"/>
    <w:rsid w:val="004E4DCA"/>
    <w:rsid w:val="004E4E6A"/>
    <w:rsid w:val="004E4EBE"/>
    <w:rsid w:val="004E56C0"/>
    <w:rsid w:val="004E5CF5"/>
    <w:rsid w:val="004E5D96"/>
    <w:rsid w:val="004E5F4B"/>
    <w:rsid w:val="004E5F99"/>
    <w:rsid w:val="004E6C02"/>
    <w:rsid w:val="004E79E0"/>
    <w:rsid w:val="004E7BE9"/>
    <w:rsid w:val="004F0222"/>
    <w:rsid w:val="004F0ACE"/>
    <w:rsid w:val="004F0F0E"/>
    <w:rsid w:val="004F0F72"/>
    <w:rsid w:val="004F1209"/>
    <w:rsid w:val="004F146D"/>
    <w:rsid w:val="004F1662"/>
    <w:rsid w:val="004F166C"/>
    <w:rsid w:val="004F1EA2"/>
    <w:rsid w:val="004F2116"/>
    <w:rsid w:val="004F21AA"/>
    <w:rsid w:val="004F276A"/>
    <w:rsid w:val="004F27B2"/>
    <w:rsid w:val="004F28F6"/>
    <w:rsid w:val="004F2D01"/>
    <w:rsid w:val="004F316D"/>
    <w:rsid w:val="004F321D"/>
    <w:rsid w:val="004F343D"/>
    <w:rsid w:val="004F3B80"/>
    <w:rsid w:val="004F3EFC"/>
    <w:rsid w:val="004F418B"/>
    <w:rsid w:val="004F4434"/>
    <w:rsid w:val="004F4AEC"/>
    <w:rsid w:val="004F517D"/>
    <w:rsid w:val="004F51D0"/>
    <w:rsid w:val="004F52E1"/>
    <w:rsid w:val="004F5754"/>
    <w:rsid w:val="004F575A"/>
    <w:rsid w:val="004F5A94"/>
    <w:rsid w:val="004F5D0B"/>
    <w:rsid w:val="004F5D3C"/>
    <w:rsid w:val="004F65A3"/>
    <w:rsid w:val="004F6965"/>
    <w:rsid w:val="004F706E"/>
    <w:rsid w:val="004F72D7"/>
    <w:rsid w:val="004F74EE"/>
    <w:rsid w:val="004F7AC4"/>
    <w:rsid w:val="004F7B35"/>
    <w:rsid w:val="004F7B9C"/>
    <w:rsid w:val="004F7C17"/>
    <w:rsid w:val="005001B0"/>
    <w:rsid w:val="005001FE"/>
    <w:rsid w:val="00500F74"/>
    <w:rsid w:val="00501170"/>
    <w:rsid w:val="005012A3"/>
    <w:rsid w:val="00501634"/>
    <w:rsid w:val="00501924"/>
    <w:rsid w:val="005019FB"/>
    <w:rsid w:val="00501B1D"/>
    <w:rsid w:val="00501CC1"/>
    <w:rsid w:val="00501E3D"/>
    <w:rsid w:val="00501E43"/>
    <w:rsid w:val="00501F26"/>
    <w:rsid w:val="00502207"/>
    <w:rsid w:val="00502462"/>
    <w:rsid w:val="0050343B"/>
    <w:rsid w:val="005037A9"/>
    <w:rsid w:val="00503BB1"/>
    <w:rsid w:val="00503DB2"/>
    <w:rsid w:val="00504968"/>
    <w:rsid w:val="005051FD"/>
    <w:rsid w:val="00505B14"/>
    <w:rsid w:val="00505DF0"/>
    <w:rsid w:val="0050637C"/>
    <w:rsid w:val="0050666B"/>
    <w:rsid w:val="00506813"/>
    <w:rsid w:val="0050694F"/>
    <w:rsid w:val="00506DF3"/>
    <w:rsid w:val="00506F46"/>
    <w:rsid w:val="005070E3"/>
    <w:rsid w:val="00507112"/>
    <w:rsid w:val="00507300"/>
    <w:rsid w:val="005073E6"/>
    <w:rsid w:val="005074D8"/>
    <w:rsid w:val="005075C0"/>
    <w:rsid w:val="0050797F"/>
    <w:rsid w:val="00507D9A"/>
    <w:rsid w:val="00510688"/>
    <w:rsid w:val="00510858"/>
    <w:rsid w:val="00510A2B"/>
    <w:rsid w:val="00511034"/>
    <w:rsid w:val="00511459"/>
    <w:rsid w:val="0051155F"/>
    <w:rsid w:val="00511EEA"/>
    <w:rsid w:val="00512029"/>
    <w:rsid w:val="0051216C"/>
    <w:rsid w:val="0051236B"/>
    <w:rsid w:val="0051241E"/>
    <w:rsid w:val="0051349E"/>
    <w:rsid w:val="0051397D"/>
    <w:rsid w:val="00513CBF"/>
    <w:rsid w:val="00513D56"/>
    <w:rsid w:val="00513EFF"/>
    <w:rsid w:val="005140FA"/>
    <w:rsid w:val="00514406"/>
    <w:rsid w:val="00514ECA"/>
    <w:rsid w:val="00515B1B"/>
    <w:rsid w:val="00515B4C"/>
    <w:rsid w:val="00515C6A"/>
    <w:rsid w:val="00515E09"/>
    <w:rsid w:val="005162CB"/>
    <w:rsid w:val="00516517"/>
    <w:rsid w:val="00516913"/>
    <w:rsid w:val="00516D7D"/>
    <w:rsid w:val="00517502"/>
    <w:rsid w:val="00517A1A"/>
    <w:rsid w:val="00517C04"/>
    <w:rsid w:val="00517E7C"/>
    <w:rsid w:val="005209D4"/>
    <w:rsid w:val="005210FB"/>
    <w:rsid w:val="00521E8E"/>
    <w:rsid w:val="00521F40"/>
    <w:rsid w:val="005223A5"/>
    <w:rsid w:val="005224F1"/>
    <w:rsid w:val="00522510"/>
    <w:rsid w:val="005225EF"/>
    <w:rsid w:val="00522BD1"/>
    <w:rsid w:val="00522BFE"/>
    <w:rsid w:val="0052307C"/>
    <w:rsid w:val="00523BBF"/>
    <w:rsid w:val="00523E9E"/>
    <w:rsid w:val="005244E8"/>
    <w:rsid w:val="00524BA7"/>
    <w:rsid w:val="00524DC1"/>
    <w:rsid w:val="005252BA"/>
    <w:rsid w:val="005259E8"/>
    <w:rsid w:val="00525A40"/>
    <w:rsid w:val="00525C88"/>
    <w:rsid w:val="00526588"/>
    <w:rsid w:val="00527029"/>
    <w:rsid w:val="00527919"/>
    <w:rsid w:val="00527C2D"/>
    <w:rsid w:val="0053069E"/>
    <w:rsid w:val="00531610"/>
    <w:rsid w:val="005316C7"/>
    <w:rsid w:val="005318D4"/>
    <w:rsid w:val="00531AB4"/>
    <w:rsid w:val="00531EE5"/>
    <w:rsid w:val="005324F7"/>
    <w:rsid w:val="00532648"/>
    <w:rsid w:val="005328AB"/>
    <w:rsid w:val="00532C5C"/>
    <w:rsid w:val="00532D2F"/>
    <w:rsid w:val="0053311A"/>
    <w:rsid w:val="0053323B"/>
    <w:rsid w:val="005333C0"/>
    <w:rsid w:val="005334E6"/>
    <w:rsid w:val="00533E96"/>
    <w:rsid w:val="005342FA"/>
    <w:rsid w:val="005343A0"/>
    <w:rsid w:val="00534486"/>
    <w:rsid w:val="0053448D"/>
    <w:rsid w:val="0053484C"/>
    <w:rsid w:val="005350CB"/>
    <w:rsid w:val="0053543C"/>
    <w:rsid w:val="00535C71"/>
    <w:rsid w:val="00535D66"/>
    <w:rsid w:val="00535F3F"/>
    <w:rsid w:val="00536990"/>
    <w:rsid w:val="00536EFB"/>
    <w:rsid w:val="00537054"/>
    <w:rsid w:val="00537097"/>
    <w:rsid w:val="00537FF3"/>
    <w:rsid w:val="005410B0"/>
    <w:rsid w:val="0054135B"/>
    <w:rsid w:val="0054157F"/>
    <w:rsid w:val="005416AD"/>
    <w:rsid w:val="00541802"/>
    <w:rsid w:val="00541B41"/>
    <w:rsid w:val="00541C40"/>
    <w:rsid w:val="00541D41"/>
    <w:rsid w:val="00541F7D"/>
    <w:rsid w:val="00542545"/>
    <w:rsid w:val="00542654"/>
    <w:rsid w:val="0054282A"/>
    <w:rsid w:val="00542ABE"/>
    <w:rsid w:val="00542B93"/>
    <w:rsid w:val="00542CE4"/>
    <w:rsid w:val="00542DFF"/>
    <w:rsid w:val="00542FAE"/>
    <w:rsid w:val="005434A1"/>
    <w:rsid w:val="00543934"/>
    <w:rsid w:val="00543E8E"/>
    <w:rsid w:val="00543F15"/>
    <w:rsid w:val="00543FD5"/>
    <w:rsid w:val="00544A5A"/>
    <w:rsid w:val="00544C88"/>
    <w:rsid w:val="00544F69"/>
    <w:rsid w:val="0054542B"/>
    <w:rsid w:val="0054562B"/>
    <w:rsid w:val="00546015"/>
    <w:rsid w:val="005460B4"/>
    <w:rsid w:val="00546354"/>
    <w:rsid w:val="00546AF9"/>
    <w:rsid w:val="005475CC"/>
    <w:rsid w:val="005477FF"/>
    <w:rsid w:val="00547C39"/>
    <w:rsid w:val="00550098"/>
    <w:rsid w:val="0055099D"/>
    <w:rsid w:val="00550B3F"/>
    <w:rsid w:val="00550EFA"/>
    <w:rsid w:val="00550FC3"/>
    <w:rsid w:val="00551810"/>
    <w:rsid w:val="00551B12"/>
    <w:rsid w:val="00551FF6"/>
    <w:rsid w:val="00552153"/>
    <w:rsid w:val="005522D5"/>
    <w:rsid w:val="00552424"/>
    <w:rsid w:val="0055275A"/>
    <w:rsid w:val="00552920"/>
    <w:rsid w:val="00552C6A"/>
    <w:rsid w:val="00552D03"/>
    <w:rsid w:val="00553C23"/>
    <w:rsid w:val="005540DE"/>
    <w:rsid w:val="0055412F"/>
    <w:rsid w:val="0055468A"/>
    <w:rsid w:val="00555135"/>
    <w:rsid w:val="0055556A"/>
    <w:rsid w:val="0055593B"/>
    <w:rsid w:val="00555949"/>
    <w:rsid w:val="00556063"/>
    <w:rsid w:val="00556308"/>
    <w:rsid w:val="00556379"/>
    <w:rsid w:val="00556ADB"/>
    <w:rsid w:val="00556E1A"/>
    <w:rsid w:val="005570EB"/>
    <w:rsid w:val="0055712C"/>
    <w:rsid w:val="00557376"/>
    <w:rsid w:val="00557A12"/>
    <w:rsid w:val="00560490"/>
    <w:rsid w:val="00560F4B"/>
    <w:rsid w:val="00560F8E"/>
    <w:rsid w:val="005610DD"/>
    <w:rsid w:val="00561B5A"/>
    <w:rsid w:val="00561D17"/>
    <w:rsid w:val="00561E60"/>
    <w:rsid w:val="00561E7D"/>
    <w:rsid w:val="00561F97"/>
    <w:rsid w:val="005624E7"/>
    <w:rsid w:val="005626F9"/>
    <w:rsid w:val="00562E10"/>
    <w:rsid w:val="0056306C"/>
    <w:rsid w:val="0056328E"/>
    <w:rsid w:val="00563726"/>
    <w:rsid w:val="00563C1F"/>
    <w:rsid w:val="00564498"/>
    <w:rsid w:val="0056498E"/>
    <w:rsid w:val="005650D3"/>
    <w:rsid w:val="005651BD"/>
    <w:rsid w:val="00565D62"/>
    <w:rsid w:val="00565FA0"/>
    <w:rsid w:val="005662C9"/>
    <w:rsid w:val="00566959"/>
    <w:rsid w:val="00566A09"/>
    <w:rsid w:val="00566AB0"/>
    <w:rsid w:val="00566D66"/>
    <w:rsid w:val="00567708"/>
    <w:rsid w:val="00567B57"/>
    <w:rsid w:val="005701A2"/>
    <w:rsid w:val="0057030F"/>
    <w:rsid w:val="0057061C"/>
    <w:rsid w:val="00570658"/>
    <w:rsid w:val="005707FA"/>
    <w:rsid w:val="00570BAB"/>
    <w:rsid w:val="0057154A"/>
    <w:rsid w:val="0057169E"/>
    <w:rsid w:val="00571B62"/>
    <w:rsid w:val="00571F0F"/>
    <w:rsid w:val="00571FC0"/>
    <w:rsid w:val="0057206E"/>
    <w:rsid w:val="00572402"/>
    <w:rsid w:val="00574686"/>
    <w:rsid w:val="005748D2"/>
    <w:rsid w:val="00575434"/>
    <w:rsid w:val="0057656C"/>
    <w:rsid w:val="00576D5D"/>
    <w:rsid w:val="00577685"/>
    <w:rsid w:val="00577745"/>
    <w:rsid w:val="00577D6D"/>
    <w:rsid w:val="00577E96"/>
    <w:rsid w:val="00580D72"/>
    <w:rsid w:val="00580DE0"/>
    <w:rsid w:val="00580FEB"/>
    <w:rsid w:val="00581396"/>
    <w:rsid w:val="00581428"/>
    <w:rsid w:val="00581592"/>
    <w:rsid w:val="005819C7"/>
    <w:rsid w:val="00581C9E"/>
    <w:rsid w:val="00581CB2"/>
    <w:rsid w:val="00581F2E"/>
    <w:rsid w:val="0058208C"/>
    <w:rsid w:val="0058214F"/>
    <w:rsid w:val="00582833"/>
    <w:rsid w:val="00582841"/>
    <w:rsid w:val="00582CEB"/>
    <w:rsid w:val="00582D13"/>
    <w:rsid w:val="00583D86"/>
    <w:rsid w:val="005841EB"/>
    <w:rsid w:val="00584220"/>
    <w:rsid w:val="00584AE0"/>
    <w:rsid w:val="00584F5A"/>
    <w:rsid w:val="005857DE"/>
    <w:rsid w:val="00585D54"/>
    <w:rsid w:val="005863B0"/>
    <w:rsid w:val="00586580"/>
    <w:rsid w:val="00586609"/>
    <w:rsid w:val="005868DF"/>
    <w:rsid w:val="00586B0F"/>
    <w:rsid w:val="00586D37"/>
    <w:rsid w:val="00586E44"/>
    <w:rsid w:val="00586F2B"/>
    <w:rsid w:val="0058714D"/>
    <w:rsid w:val="00587330"/>
    <w:rsid w:val="0059035D"/>
    <w:rsid w:val="00590647"/>
    <w:rsid w:val="00590C8B"/>
    <w:rsid w:val="0059111D"/>
    <w:rsid w:val="00591848"/>
    <w:rsid w:val="00591F3D"/>
    <w:rsid w:val="00591FD9"/>
    <w:rsid w:val="0059244C"/>
    <w:rsid w:val="005924EC"/>
    <w:rsid w:val="00592A21"/>
    <w:rsid w:val="00592E31"/>
    <w:rsid w:val="00592FE8"/>
    <w:rsid w:val="005934D3"/>
    <w:rsid w:val="00593DB7"/>
    <w:rsid w:val="00593F32"/>
    <w:rsid w:val="0059409A"/>
    <w:rsid w:val="005947D5"/>
    <w:rsid w:val="005949D4"/>
    <w:rsid w:val="0059520F"/>
    <w:rsid w:val="00595265"/>
    <w:rsid w:val="005955B3"/>
    <w:rsid w:val="005955ED"/>
    <w:rsid w:val="005956AE"/>
    <w:rsid w:val="005960B1"/>
    <w:rsid w:val="005962C0"/>
    <w:rsid w:val="005967AD"/>
    <w:rsid w:val="00596B08"/>
    <w:rsid w:val="005971BF"/>
    <w:rsid w:val="00597D31"/>
    <w:rsid w:val="005A00F3"/>
    <w:rsid w:val="005A0949"/>
    <w:rsid w:val="005A0CC8"/>
    <w:rsid w:val="005A11A7"/>
    <w:rsid w:val="005A18B8"/>
    <w:rsid w:val="005A1A90"/>
    <w:rsid w:val="005A1C23"/>
    <w:rsid w:val="005A2368"/>
    <w:rsid w:val="005A259C"/>
    <w:rsid w:val="005A282A"/>
    <w:rsid w:val="005A33EF"/>
    <w:rsid w:val="005A39A2"/>
    <w:rsid w:val="005A4217"/>
    <w:rsid w:val="005A4354"/>
    <w:rsid w:val="005A4F76"/>
    <w:rsid w:val="005A507B"/>
    <w:rsid w:val="005A56F9"/>
    <w:rsid w:val="005A59C4"/>
    <w:rsid w:val="005A5DCA"/>
    <w:rsid w:val="005A6523"/>
    <w:rsid w:val="005A71DC"/>
    <w:rsid w:val="005A7574"/>
    <w:rsid w:val="005A7918"/>
    <w:rsid w:val="005A796C"/>
    <w:rsid w:val="005A7CFD"/>
    <w:rsid w:val="005B060D"/>
    <w:rsid w:val="005B0CE0"/>
    <w:rsid w:val="005B0E7A"/>
    <w:rsid w:val="005B103D"/>
    <w:rsid w:val="005B13A6"/>
    <w:rsid w:val="005B1535"/>
    <w:rsid w:val="005B15EC"/>
    <w:rsid w:val="005B1681"/>
    <w:rsid w:val="005B1D48"/>
    <w:rsid w:val="005B2279"/>
    <w:rsid w:val="005B244C"/>
    <w:rsid w:val="005B2A8B"/>
    <w:rsid w:val="005B2BE7"/>
    <w:rsid w:val="005B2ED4"/>
    <w:rsid w:val="005B30E2"/>
    <w:rsid w:val="005B3345"/>
    <w:rsid w:val="005B3BF1"/>
    <w:rsid w:val="005B436A"/>
    <w:rsid w:val="005B4887"/>
    <w:rsid w:val="005B4948"/>
    <w:rsid w:val="005B50E4"/>
    <w:rsid w:val="005B5659"/>
    <w:rsid w:val="005B6514"/>
    <w:rsid w:val="005B6BAA"/>
    <w:rsid w:val="005B6E63"/>
    <w:rsid w:val="005B7659"/>
    <w:rsid w:val="005B7F26"/>
    <w:rsid w:val="005C0458"/>
    <w:rsid w:val="005C067D"/>
    <w:rsid w:val="005C0C32"/>
    <w:rsid w:val="005C10DA"/>
    <w:rsid w:val="005C1AF0"/>
    <w:rsid w:val="005C20AA"/>
    <w:rsid w:val="005C20D6"/>
    <w:rsid w:val="005C21FC"/>
    <w:rsid w:val="005C24F8"/>
    <w:rsid w:val="005C2D85"/>
    <w:rsid w:val="005C2F62"/>
    <w:rsid w:val="005C3323"/>
    <w:rsid w:val="005C333E"/>
    <w:rsid w:val="005C368A"/>
    <w:rsid w:val="005C4046"/>
    <w:rsid w:val="005C43F5"/>
    <w:rsid w:val="005C44E1"/>
    <w:rsid w:val="005C4768"/>
    <w:rsid w:val="005C4E8E"/>
    <w:rsid w:val="005C57AF"/>
    <w:rsid w:val="005C57D5"/>
    <w:rsid w:val="005C5B8E"/>
    <w:rsid w:val="005C5C1F"/>
    <w:rsid w:val="005C5E70"/>
    <w:rsid w:val="005C66A3"/>
    <w:rsid w:val="005C6782"/>
    <w:rsid w:val="005C6ED4"/>
    <w:rsid w:val="005C7921"/>
    <w:rsid w:val="005C7A07"/>
    <w:rsid w:val="005D00DE"/>
    <w:rsid w:val="005D0B9B"/>
    <w:rsid w:val="005D0F46"/>
    <w:rsid w:val="005D1002"/>
    <w:rsid w:val="005D1219"/>
    <w:rsid w:val="005D1C32"/>
    <w:rsid w:val="005D1D9F"/>
    <w:rsid w:val="005D1F6A"/>
    <w:rsid w:val="005D2443"/>
    <w:rsid w:val="005D2C27"/>
    <w:rsid w:val="005D2E14"/>
    <w:rsid w:val="005D2F87"/>
    <w:rsid w:val="005D335A"/>
    <w:rsid w:val="005D449B"/>
    <w:rsid w:val="005D476C"/>
    <w:rsid w:val="005D4C54"/>
    <w:rsid w:val="005D5440"/>
    <w:rsid w:val="005D57FB"/>
    <w:rsid w:val="005D654B"/>
    <w:rsid w:val="005D69CD"/>
    <w:rsid w:val="005D69E2"/>
    <w:rsid w:val="005D73F0"/>
    <w:rsid w:val="005D781D"/>
    <w:rsid w:val="005E06E1"/>
    <w:rsid w:val="005E07C2"/>
    <w:rsid w:val="005E08AC"/>
    <w:rsid w:val="005E09FA"/>
    <w:rsid w:val="005E123A"/>
    <w:rsid w:val="005E1503"/>
    <w:rsid w:val="005E1B86"/>
    <w:rsid w:val="005E1E8B"/>
    <w:rsid w:val="005E2076"/>
    <w:rsid w:val="005E20CF"/>
    <w:rsid w:val="005E2133"/>
    <w:rsid w:val="005E217B"/>
    <w:rsid w:val="005E225F"/>
    <w:rsid w:val="005E2320"/>
    <w:rsid w:val="005E232B"/>
    <w:rsid w:val="005E2330"/>
    <w:rsid w:val="005E2DE5"/>
    <w:rsid w:val="005E320E"/>
    <w:rsid w:val="005E37B9"/>
    <w:rsid w:val="005E3A22"/>
    <w:rsid w:val="005E3A34"/>
    <w:rsid w:val="005E3C4A"/>
    <w:rsid w:val="005E3E5B"/>
    <w:rsid w:val="005E4AB1"/>
    <w:rsid w:val="005E4BDD"/>
    <w:rsid w:val="005E522F"/>
    <w:rsid w:val="005E651C"/>
    <w:rsid w:val="005E683C"/>
    <w:rsid w:val="005E6F9B"/>
    <w:rsid w:val="005E7103"/>
    <w:rsid w:val="005E75E0"/>
    <w:rsid w:val="005E7636"/>
    <w:rsid w:val="005E7AC0"/>
    <w:rsid w:val="005E7BAA"/>
    <w:rsid w:val="005E7C6D"/>
    <w:rsid w:val="005E7C72"/>
    <w:rsid w:val="005E7CD9"/>
    <w:rsid w:val="005E7F99"/>
    <w:rsid w:val="005F003B"/>
    <w:rsid w:val="005F019C"/>
    <w:rsid w:val="005F0672"/>
    <w:rsid w:val="005F069C"/>
    <w:rsid w:val="005F0840"/>
    <w:rsid w:val="005F0AB4"/>
    <w:rsid w:val="005F0B37"/>
    <w:rsid w:val="005F0DAB"/>
    <w:rsid w:val="005F1165"/>
    <w:rsid w:val="005F1226"/>
    <w:rsid w:val="005F1825"/>
    <w:rsid w:val="005F21DA"/>
    <w:rsid w:val="005F256C"/>
    <w:rsid w:val="005F2B1E"/>
    <w:rsid w:val="005F2DDA"/>
    <w:rsid w:val="005F2EAD"/>
    <w:rsid w:val="005F2EAF"/>
    <w:rsid w:val="005F3639"/>
    <w:rsid w:val="005F3FE2"/>
    <w:rsid w:val="005F425D"/>
    <w:rsid w:val="005F47B3"/>
    <w:rsid w:val="005F4E3A"/>
    <w:rsid w:val="005F5144"/>
    <w:rsid w:val="005F5147"/>
    <w:rsid w:val="005F55A8"/>
    <w:rsid w:val="005F5CA8"/>
    <w:rsid w:val="005F609C"/>
    <w:rsid w:val="005F6185"/>
    <w:rsid w:val="005F63EF"/>
    <w:rsid w:val="005F6F9C"/>
    <w:rsid w:val="005F754C"/>
    <w:rsid w:val="005F7D81"/>
    <w:rsid w:val="005F7FAD"/>
    <w:rsid w:val="006005FF"/>
    <w:rsid w:val="00600A4C"/>
    <w:rsid w:val="0060154D"/>
    <w:rsid w:val="0060245F"/>
    <w:rsid w:val="00602866"/>
    <w:rsid w:val="00602D95"/>
    <w:rsid w:val="00602E65"/>
    <w:rsid w:val="00602F5F"/>
    <w:rsid w:val="00603222"/>
    <w:rsid w:val="00603304"/>
    <w:rsid w:val="00603BB8"/>
    <w:rsid w:val="00603C5B"/>
    <w:rsid w:val="00603ED3"/>
    <w:rsid w:val="00604330"/>
    <w:rsid w:val="00604961"/>
    <w:rsid w:val="006049AF"/>
    <w:rsid w:val="00604A2E"/>
    <w:rsid w:val="00604B9A"/>
    <w:rsid w:val="00604EFD"/>
    <w:rsid w:val="006053B6"/>
    <w:rsid w:val="00605DC8"/>
    <w:rsid w:val="006060DA"/>
    <w:rsid w:val="00606817"/>
    <w:rsid w:val="00606AA1"/>
    <w:rsid w:val="0060738B"/>
    <w:rsid w:val="0060775D"/>
    <w:rsid w:val="00607D95"/>
    <w:rsid w:val="00610140"/>
    <w:rsid w:val="006109C4"/>
    <w:rsid w:val="00610FFA"/>
    <w:rsid w:val="006118DE"/>
    <w:rsid w:val="006118F6"/>
    <w:rsid w:val="00611D58"/>
    <w:rsid w:val="00612184"/>
    <w:rsid w:val="00612350"/>
    <w:rsid w:val="006125AC"/>
    <w:rsid w:val="00612DF6"/>
    <w:rsid w:val="00613105"/>
    <w:rsid w:val="00613297"/>
    <w:rsid w:val="006139D2"/>
    <w:rsid w:val="00614298"/>
    <w:rsid w:val="00614349"/>
    <w:rsid w:val="00614414"/>
    <w:rsid w:val="00614774"/>
    <w:rsid w:val="00614BB5"/>
    <w:rsid w:val="0061528E"/>
    <w:rsid w:val="0061536C"/>
    <w:rsid w:val="00616335"/>
    <w:rsid w:val="00616472"/>
    <w:rsid w:val="00616742"/>
    <w:rsid w:val="006168D6"/>
    <w:rsid w:val="006169E5"/>
    <w:rsid w:val="00616B5A"/>
    <w:rsid w:val="00616D10"/>
    <w:rsid w:val="00616E78"/>
    <w:rsid w:val="00617BDD"/>
    <w:rsid w:val="00617FF2"/>
    <w:rsid w:val="00620011"/>
    <w:rsid w:val="00620398"/>
    <w:rsid w:val="0062067E"/>
    <w:rsid w:val="0062070C"/>
    <w:rsid w:val="00620A89"/>
    <w:rsid w:val="00620ABB"/>
    <w:rsid w:val="00620C1A"/>
    <w:rsid w:val="0062143A"/>
    <w:rsid w:val="00621953"/>
    <w:rsid w:val="00621A13"/>
    <w:rsid w:val="00621D1E"/>
    <w:rsid w:val="0062200B"/>
    <w:rsid w:val="00622055"/>
    <w:rsid w:val="00622067"/>
    <w:rsid w:val="006220F3"/>
    <w:rsid w:val="0062228E"/>
    <w:rsid w:val="00622851"/>
    <w:rsid w:val="00622B27"/>
    <w:rsid w:val="00623CC8"/>
    <w:rsid w:val="00623F79"/>
    <w:rsid w:val="00623F94"/>
    <w:rsid w:val="0062418B"/>
    <w:rsid w:val="00624198"/>
    <w:rsid w:val="006242EA"/>
    <w:rsid w:val="00624712"/>
    <w:rsid w:val="006249F4"/>
    <w:rsid w:val="00624E13"/>
    <w:rsid w:val="00624FF2"/>
    <w:rsid w:val="00625A67"/>
    <w:rsid w:val="00626309"/>
    <w:rsid w:val="0062632B"/>
    <w:rsid w:val="006264E7"/>
    <w:rsid w:val="00626616"/>
    <w:rsid w:val="00626702"/>
    <w:rsid w:val="00626C00"/>
    <w:rsid w:val="0062749C"/>
    <w:rsid w:val="00627DC1"/>
    <w:rsid w:val="006306AC"/>
    <w:rsid w:val="00630894"/>
    <w:rsid w:val="00630C58"/>
    <w:rsid w:val="006319B4"/>
    <w:rsid w:val="00631B4A"/>
    <w:rsid w:val="00631BF9"/>
    <w:rsid w:val="00631FD6"/>
    <w:rsid w:val="00632262"/>
    <w:rsid w:val="00632B12"/>
    <w:rsid w:val="0063383F"/>
    <w:rsid w:val="00633D60"/>
    <w:rsid w:val="00634039"/>
    <w:rsid w:val="006344B8"/>
    <w:rsid w:val="006346FF"/>
    <w:rsid w:val="00635372"/>
    <w:rsid w:val="006353CD"/>
    <w:rsid w:val="006359D7"/>
    <w:rsid w:val="00635BED"/>
    <w:rsid w:val="00635F05"/>
    <w:rsid w:val="006361C0"/>
    <w:rsid w:val="006368A6"/>
    <w:rsid w:val="0063692F"/>
    <w:rsid w:val="00636F74"/>
    <w:rsid w:val="0063705A"/>
    <w:rsid w:val="006374FE"/>
    <w:rsid w:val="00637BA9"/>
    <w:rsid w:val="00637C7B"/>
    <w:rsid w:val="006405A5"/>
    <w:rsid w:val="00640A78"/>
    <w:rsid w:val="00641696"/>
    <w:rsid w:val="006416DD"/>
    <w:rsid w:val="00641D66"/>
    <w:rsid w:val="00642869"/>
    <w:rsid w:val="00642C76"/>
    <w:rsid w:val="00642DAC"/>
    <w:rsid w:val="00642FD7"/>
    <w:rsid w:val="006435E5"/>
    <w:rsid w:val="00643613"/>
    <w:rsid w:val="006436A0"/>
    <w:rsid w:val="00643831"/>
    <w:rsid w:val="0064399D"/>
    <w:rsid w:val="00643BCA"/>
    <w:rsid w:val="00643EB5"/>
    <w:rsid w:val="006441DA"/>
    <w:rsid w:val="00644791"/>
    <w:rsid w:val="00644B60"/>
    <w:rsid w:val="00644FDB"/>
    <w:rsid w:val="006452A5"/>
    <w:rsid w:val="006457DD"/>
    <w:rsid w:val="00645F5A"/>
    <w:rsid w:val="00646149"/>
    <w:rsid w:val="00646261"/>
    <w:rsid w:val="0064653A"/>
    <w:rsid w:val="006467D6"/>
    <w:rsid w:val="00646DBC"/>
    <w:rsid w:val="00646EA0"/>
    <w:rsid w:val="0064716F"/>
    <w:rsid w:val="00647417"/>
    <w:rsid w:val="0064783C"/>
    <w:rsid w:val="0064799F"/>
    <w:rsid w:val="00647B97"/>
    <w:rsid w:val="00647D45"/>
    <w:rsid w:val="006509FC"/>
    <w:rsid w:val="00650B6E"/>
    <w:rsid w:val="00650DD8"/>
    <w:rsid w:val="006512F2"/>
    <w:rsid w:val="00651761"/>
    <w:rsid w:val="00651FDF"/>
    <w:rsid w:val="00652564"/>
    <w:rsid w:val="00652871"/>
    <w:rsid w:val="006529EF"/>
    <w:rsid w:val="00652E15"/>
    <w:rsid w:val="00652E55"/>
    <w:rsid w:val="006530F7"/>
    <w:rsid w:val="0065312A"/>
    <w:rsid w:val="00653DEF"/>
    <w:rsid w:val="00653E22"/>
    <w:rsid w:val="00653F1B"/>
    <w:rsid w:val="00654149"/>
    <w:rsid w:val="00654218"/>
    <w:rsid w:val="006546C6"/>
    <w:rsid w:val="006547DC"/>
    <w:rsid w:val="00654A61"/>
    <w:rsid w:val="00654AAE"/>
    <w:rsid w:val="00654F13"/>
    <w:rsid w:val="006552D7"/>
    <w:rsid w:val="006555AC"/>
    <w:rsid w:val="006558EC"/>
    <w:rsid w:val="00655AEE"/>
    <w:rsid w:val="00656C44"/>
    <w:rsid w:val="00656C91"/>
    <w:rsid w:val="00656D0F"/>
    <w:rsid w:val="00657845"/>
    <w:rsid w:val="0066003E"/>
    <w:rsid w:val="006607C6"/>
    <w:rsid w:val="00660BFB"/>
    <w:rsid w:val="006623CF"/>
    <w:rsid w:val="00662D51"/>
    <w:rsid w:val="0066303B"/>
    <w:rsid w:val="0066339C"/>
    <w:rsid w:val="00663DDA"/>
    <w:rsid w:val="006640E5"/>
    <w:rsid w:val="0066492A"/>
    <w:rsid w:val="00664D18"/>
    <w:rsid w:val="0066505A"/>
    <w:rsid w:val="00665333"/>
    <w:rsid w:val="00665CEB"/>
    <w:rsid w:val="00666236"/>
    <w:rsid w:val="0066782D"/>
    <w:rsid w:val="00667877"/>
    <w:rsid w:val="00667922"/>
    <w:rsid w:val="00667C26"/>
    <w:rsid w:val="00667F60"/>
    <w:rsid w:val="0067013B"/>
    <w:rsid w:val="0067030D"/>
    <w:rsid w:val="006706E8"/>
    <w:rsid w:val="00670875"/>
    <w:rsid w:val="00670E3F"/>
    <w:rsid w:val="006710A6"/>
    <w:rsid w:val="00671D5E"/>
    <w:rsid w:val="00671D82"/>
    <w:rsid w:val="00671F6A"/>
    <w:rsid w:val="00672032"/>
    <w:rsid w:val="0067250D"/>
    <w:rsid w:val="00672AEE"/>
    <w:rsid w:val="00672E4C"/>
    <w:rsid w:val="00673C6B"/>
    <w:rsid w:val="0067442B"/>
    <w:rsid w:val="006755FD"/>
    <w:rsid w:val="0067571B"/>
    <w:rsid w:val="00676D2D"/>
    <w:rsid w:val="00677366"/>
    <w:rsid w:val="006776FD"/>
    <w:rsid w:val="00677C4D"/>
    <w:rsid w:val="00677DAE"/>
    <w:rsid w:val="00677FBD"/>
    <w:rsid w:val="00680173"/>
    <w:rsid w:val="00680286"/>
    <w:rsid w:val="00680482"/>
    <w:rsid w:val="006807E8"/>
    <w:rsid w:val="00681210"/>
    <w:rsid w:val="0068138A"/>
    <w:rsid w:val="006824AC"/>
    <w:rsid w:val="006828D7"/>
    <w:rsid w:val="006828DD"/>
    <w:rsid w:val="00682F9C"/>
    <w:rsid w:val="00683441"/>
    <w:rsid w:val="00683694"/>
    <w:rsid w:val="00684366"/>
    <w:rsid w:val="0068446A"/>
    <w:rsid w:val="006846BF"/>
    <w:rsid w:val="006849A8"/>
    <w:rsid w:val="006849E9"/>
    <w:rsid w:val="00684BF4"/>
    <w:rsid w:val="00684C41"/>
    <w:rsid w:val="00684D3F"/>
    <w:rsid w:val="00684D60"/>
    <w:rsid w:val="00684DA8"/>
    <w:rsid w:val="00684F35"/>
    <w:rsid w:val="00685526"/>
    <w:rsid w:val="0068566E"/>
    <w:rsid w:val="00685700"/>
    <w:rsid w:val="006858A9"/>
    <w:rsid w:val="006858BE"/>
    <w:rsid w:val="00685BB8"/>
    <w:rsid w:val="006860C2"/>
    <w:rsid w:val="00686AAA"/>
    <w:rsid w:val="00687DDC"/>
    <w:rsid w:val="0069006C"/>
    <w:rsid w:val="00690A64"/>
    <w:rsid w:val="00690C84"/>
    <w:rsid w:val="00690D5D"/>
    <w:rsid w:val="00691096"/>
    <w:rsid w:val="00691974"/>
    <w:rsid w:val="00691B1B"/>
    <w:rsid w:val="00691BD5"/>
    <w:rsid w:val="00691F7F"/>
    <w:rsid w:val="0069262F"/>
    <w:rsid w:val="00692C56"/>
    <w:rsid w:val="00692EDA"/>
    <w:rsid w:val="0069361F"/>
    <w:rsid w:val="00693C66"/>
    <w:rsid w:val="00693DCB"/>
    <w:rsid w:val="006940BC"/>
    <w:rsid w:val="006942E9"/>
    <w:rsid w:val="00694A12"/>
    <w:rsid w:val="00694CC1"/>
    <w:rsid w:val="00694F74"/>
    <w:rsid w:val="0069587D"/>
    <w:rsid w:val="00695A15"/>
    <w:rsid w:val="00695CF6"/>
    <w:rsid w:val="00695D4A"/>
    <w:rsid w:val="00695D7F"/>
    <w:rsid w:val="0069633B"/>
    <w:rsid w:val="00696882"/>
    <w:rsid w:val="00696AC0"/>
    <w:rsid w:val="00696AEE"/>
    <w:rsid w:val="00696F7E"/>
    <w:rsid w:val="0069763E"/>
    <w:rsid w:val="006A0548"/>
    <w:rsid w:val="006A0572"/>
    <w:rsid w:val="006A0BF2"/>
    <w:rsid w:val="006A0FE5"/>
    <w:rsid w:val="006A1913"/>
    <w:rsid w:val="006A1B26"/>
    <w:rsid w:val="006A297B"/>
    <w:rsid w:val="006A34EF"/>
    <w:rsid w:val="006A3A55"/>
    <w:rsid w:val="006A3AA2"/>
    <w:rsid w:val="006A3BFF"/>
    <w:rsid w:val="006A3E6E"/>
    <w:rsid w:val="006A4103"/>
    <w:rsid w:val="006A4157"/>
    <w:rsid w:val="006A49F2"/>
    <w:rsid w:val="006A4B30"/>
    <w:rsid w:val="006A51BD"/>
    <w:rsid w:val="006A5E5E"/>
    <w:rsid w:val="006A64B0"/>
    <w:rsid w:val="006A6DE1"/>
    <w:rsid w:val="006A6E40"/>
    <w:rsid w:val="006A6E8F"/>
    <w:rsid w:val="006A7162"/>
    <w:rsid w:val="006A73C4"/>
    <w:rsid w:val="006A7812"/>
    <w:rsid w:val="006A7B0D"/>
    <w:rsid w:val="006A7C02"/>
    <w:rsid w:val="006A7C80"/>
    <w:rsid w:val="006B0527"/>
    <w:rsid w:val="006B0606"/>
    <w:rsid w:val="006B0763"/>
    <w:rsid w:val="006B085D"/>
    <w:rsid w:val="006B1726"/>
    <w:rsid w:val="006B19CD"/>
    <w:rsid w:val="006B1D42"/>
    <w:rsid w:val="006B1E5F"/>
    <w:rsid w:val="006B2466"/>
    <w:rsid w:val="006B2655"/>
    <w:rsid w:val="006B2B6D"/>
    <w:rsid w:val="006B383D"/>
    <w:rsid w:val="006B3B49"/>
    <w:rsid w:val="006B3B64"/>
    <w:rsid w:val="006B3D81"/>
    <w:rsid w:val="006B4567"/>
    <w:rsid w:val="006B48A1"/>
    <w:rsid w:val="006B4C3F"/>
    <w:rsid w:val="006B5FFB"/>
    <w:rsid w:val="006B6132"/>
    <w:rsid w:val="006B6336"/>
    <w:rsid w:val="006B639E"/>
    <w:rsid w:val="006B68C0"/>
    <w:rsid w:val="006B68D0"/>
    <w:rsid w:val="006B70B1"/>
    <w:rsid w:val="006B7120"/>
    <w:rsid w:val="006B72BF"/>
    <w:rsid w:val="006B7A13"/>
    <w:rsid w:val="006B7C3F"/>
    <w:rsid w:val="006C0247"/>
    <w:rsid w:val="006C02F6"/>
    <w:rsid w:val="006C0671"/>
    <w:rsid w:val="006C0EBA"/>
    <w:rsid w:val="006C0F80"/>
    <w:rsid w:val="006C1508"/>
    <w:rsid w:val="006C16FA"/>
    <w:rsid w:val="006C1A25"/>
    <w:rsid w:val="006C1DFD"/>
    <w:rsid w:val="006C2033"/>
    <w:rsid w:val="006C34CF"/>
    <w:rsid w:val="006C35F2"/>
    <w:rsid w:val="006C364C"/>
    <w:rsid w:val="006C372E"/>
    <w:rsid w:val="006C37A1"/>
    <w:rsid w:val="006C3873"/>
    <w:rsid w:val="006C3AFA"/>
    <w:rsid w:val="006C40E2"/>
    <w:rsid w:val="006C47AC"/>
    <w:rsid w:val="006C4867"/>
    <w:rsid w:val="006C497E"/>
    <w:rsid w:val="006C4D54"/>
    <w:rsid w:val="006C4DAA"/>
    <w:rsid w:val="006C4ED6"/>
    <w:rsid w:val="006C5268"/>
    <w:rsid w:val="006C5854"/>
    <w:rsid w:val="006C6267"/>
    <w:rsid w:val="006C684E"/>
    <w:rsid w:val="006C71E4"/>
    <w:rsid w:val="006C71FB"/>
    <w:rsid w:val="006C741D"/>
    <w:rsid w:val="006C7978"/>
    <w:rsid w:val="006C7A48"/>
    <w:rsid w:val="006C7C49"/>
    <w:rsid w:val="006C7CC0"/>
    <w:rsid w:val="006C7DCF"/>
    <w:rsid w:val="006C7DDD"/>
    <w:rsid w:val="006C7E59"/>
    <w:rsid w:val="006C7E8C"/>
    <w:rsid w:val="006D0120"/>
    <w:rsid w:val="006D031D"/>
    <w:rsid w:val="006D0492"/>
    <w:rsid w:val="006D061D"/>
    <w:rsid w:val="006D0740"/>
    <w:rsid w:val="006D105B"/>
    <w:rsid w:val="006D11EA"/>
    <w:rsid w:val="006D12C9"/>
    <w:rsid w:val="006D1E10"/>
    <w:rsid w:val="006D213B"/>
    <w:rsid w:val="006D22E9"/>
    <w:rsid w:val="006D24C1"/>
    <w:rsid w:val="006D271B"/>
    <w:rsid w:val="006D2761"/>
    <w:rsid w:val="006D2EFD"/>
    <w:rsid w:val="006D2F55"/>
    <w:rsid w:val="006D312E"/>
    <w:rsid w:val="006D329E"/>
    <w:rsid w:val="006D3403"/>
    <w:rsid w:val="006D34AE"/>
    <w:rsid w:val="006D35E9"/>
    <w:rsid w:val="006D3801"/>
    <w:rsid w:val="006D3956"/>
    <w:rsid w:val="006D4124"/>
    <w:rsid w:val="006D41A9"/>
    <w:rsid w:val="006D422F"/>
    <w:rsid w:val="006D43DD"/>
    <w:rsid w:val="006D572F"/>
    <w:rsid w:val="006D5E08"/>
    <w:rsid w:val="006D642E"/>
    <w:rsid w:val="006D64C5"/>
    <w:rsid w:val="006D684B"/>
    <w:rsid w:val="006D685E"/>
    <w:rsid w:val="006D6A17"/>
    <w:rsid w:val="006D6BBC"/>
    <w:rsid w:val="006D6FDB"/>
    <w:rsid w:val="006D76E3"/>
    <w:rsid w:val="006D7753"/>
    <w:rsid w:val="006D7C4C"/>
    <w:rsid w:val="006D7D13"/>
    <w:rsid w:val="006E00B8"/>
    <w:rsid w:val="006E0401"/>
    <w:rsid w:val="006E04A2"/>
    <w:rsid w:val="006E069A"/>
    <w:rsid w:val="006E0974"/>
    <w:rsid w:val="006E124E"/>
    <w:rsid w:val="006E14AA"/>
    <w:rsid w:val="006E1559"/>
    <w:rsid w:val="006E1FE5"/>
    <w:rsid w:val="006E2709"/>
    <w:rsid w:val="006E27AC"/>
    <w:rsid w:val="006E2A8D"/>
    <w:rsid w:val="006E30DF"/>
    <w:rsid w:val="006E3513"/>
    <w:rsid w:val="006E37C0"/>
    <w:rsid w:val="006E389C"/>
    <w:rsid w:val="006E3B1F"/>
    <w:rsid w:val="006E3F5F"/>
    <w:rsid w:val="006E4059"/>
    <w:rsid w:val="006E449A"/>
    <w:rsid w:val="006E46A9"/>
    <w:rsid w:val="006E46D3"/>
    <w:rsid w:val="006E49A6"/>
    <w:rsid w:val="006E4A48"/>
    <w:rsid w:val="006E4D49"/>
    <w:rsid w:val="006E5198"/>
    <w:rsid w:val="006E558B"/>
    <w:rsid w:val="006E58EE"/>
    <w:rsid w:val="006E5D66"/>
    <w:rsid w:val="006E5D82"/>
    <w:rsid w:val="006E5E04"/>
    <w:rsid w:val="006E63AC"/>
    <w:rsid w:val="006E6518"/>
    <w:rsid w:val="006E6789"/>
    <w:rsid w:val="006E6895"/>
    <w:rsid w:val="006E6C85"/>
    <w:rsid w:val="006E7185"/>
    <w:rsid w:val="006F0B9C"/>
    <w:rsid w:val="006F1042"/>
    <w:rsid w:val="006F1CFA"/>
    <w:rsid w:val="006F1DE1"/>
    <w:rsid w:val="006F1E12"/>
    <w:rsid w:val="006F2008"/>
    <w:rsid w:val="006F27D8"/>
    <w:rsid w:val="006F2CC3"/>
    <w:rsid w:val="006F2EF1"/>
    <w:rsid w:val="006F390C"/>
    <w:rsid w:val="006F4ACA"/>
    <w:rsid w:val="006F4C3B"/>
    <w:rsid w:val="006F4CB7"/>
    <w:rsid w:val="006F5187"/>
    <w:rsid w:val="006F55C2"/>
    <w:rsid w:val="006F5E0B"/>
    <w:rsid w:val="006F5EDC"/>
    <w:rsid w:val="006F5FC5"/>
    <w:rsid w:val="006F6230"/>
    <w:rsid w:val="006F701E"/>
    <w:rsid w:val="006F76E1"/>
    <w:rsid w:val="006F7FFA"/>
    <w:rsid w:val="00700250"/>
    <w:rsid w:val="007007EE"/>
    <w:rsid w:val="00700CBE"/>
    <w:rsid w:val="007017FE"/>
    <w:rsid w:val="00702355"/>
    <w:rsid w:val="00702D15"/>
    <w:rsid w:val="00703A62"/>
    <w:rsid w:val="00703EC6"/>
    <w:rsid w:val="00703FEE"/>
    <w:rsid w:val="00704F16"/>
    <w:rsid w:val="007051AE"/>
    <w:rsid w:val="00705FAD"/>
    <w:rsid w:val="007061F8"/>
    <w:rsid w:val="00706522"/>
    <w:rsid w:val="0070692A"/>
    <w:rsid w:val="00706B0B"/>
    <w:rsid w:val="00706D95"/>
    <w:rsid w:val="00706FF3"/>
    <w:rsid w:val="00707086"/>
    <w:rsid w:val="00707941"/>
    <w:rsid w:val="0071004C"/>
    <w:rsid w:val="0071055E"/>
    <w:rsid w:val="0071093D"/>
    <w:rsid w:val="00710CD8"/>
    <w:rsid w:val="00711119"/>
    <w:rsid w:val="0071132D"/>
    <w:rsid w:val="00711960"/>
    <w:rsid w:val="00711A2C"/>
    <w:rsid w:val="00711BC3"/>
    <w:rsid w:val="007125CD"/>
    <w:rsid w:val="007125D3"/>
    <w:rsid w:val="007129B2"/>
    <w:rsid w:val="00712AD0"/>
    <w:rsid w:val="0071315D"/>
    <w:rsid w:val="0071324F"/>
    <w:rsid w:val="007133E5"/>
    <w:rsid w:val="00713459"/>
    <w:rsid w:val="007137E8"/>
    <w:rsid w:val="0071388E"/>
    <w:rsid w:val="0071493B"/>
    <w:rsid w:val="00714DA9"/>
    <w:rsid w:val="007150FD"/>
    <w:rsid w:val="00715224"/>
    <w:rsid w:val="007152D3"/>
    <w:rsid w:val="00715534"/>
    <w:rsid w:val="00715B04"/>
    <w:rsid w:val="00715F57"/>
    <w:rsid w:val="00715FAB"/>
    <w:rsid w:val="0071659A"/>
    <w:rsid w:val="007169A9"/>
    <w:rsid w:val="00716AC4"/>
    <w:rsid w:val="00716BAB"/>
    <w:rsid w:val="00717729"/>
    <w:rsid w:val="007179E3"/>
    <w:rsid w:val="00717B46"/>
    <w:rsid w:val="00717CEF"/>
    <w:rsid w:val="00717ED8"/>
    <w:rsid w:val="0072010A"/>
    <w:rsid w:val="007201CF"/>
    <w:rsid w:val="007202DA"/>
    <w:rsid w:val="0072047A"/>
    <w:rsid w:val="00721211"/>
    <w:rsid w:val="00721C34"/>
    <w:rsid w:val="00722015"/>
    <w:rsid w:val="007224D1"/>
    <w:rsid w:val="00722C0E"/>
    <w:rsid w:val="00722E36"/>
    <w:rsid w:val="007231D4"/>
    <w:rsid w:val="007239B7"/>
    <w:rsid w:val="00723C3E"/>
    <w:rsid w:val="00723FB8"/>
    <w:rsid w:val="00724502"/>
    <w:rsid w:val="007249E4"/>
    <w:rsid w:val="00724CCB"/>
    <w:rsid w:val="007256B8"/>
    <w:rsid w:val="0072579D"/>
    <w:rsid w:val="00725DDC"/>
    <w:rsid w:val="00726364"/>
    <w:rsid w:val="0072678B"/>
    <w:rsid w:val="0072690C"/>
    <w:rsid w:val="00726D77"/>
    <w:rsid w:val="0072713C"/>
    <w:rsid w:val="007271D9"/>
    <w:rsid w:val="0072743E"/>
    <w:rsid w:val="00727D4D"/>
    <w:rsid w:val="00727E5A"/>
    <w:rsid w:val="007305C8"/>
    <w:rsid w:val="0073186C"/>
    <w:rsid w:val="00731E1B"/>
    <w:rsid w:val="007324C2"/>
    <w:rsid w:val="007327A8"/>
    <w:rsid w:val="00732AB0"/>
    <w:rsid w:val="00732D8A"/>
    <w:rsid w:val="00732EA9"/>
    <w:rsid w:val="007334A6"/>
    <w:rsid w:val="00733801"/>
    <w:rsid w:val="00733EF5"/>
    <w:rsid w:val="00734068"/>
    <w:rsid w:val="007342B7"/>
    <w:rsid w:val="007342C4"/>
    <w:rsid w:val="00734622"/>
    <w:rsid w:val="007354C0"/>
    <w:rsid w:val="00735757"/>
    <w:rsid w:val="007360FB"/>
    <w:rsid w:val="00736132"/>
    <w:rsid w:val="007361C2"/>
    <w:rsid w:val="00736CD7"/>
    <w:rsid w:val="00736CF9"/>
    <w:rsid w:val="00736FE4"/>
    <w:rsid w:val="007371A6"/>
    <w:rsid w:val="00737A40"/>
    <w:rsid w:val="00737AEF"/>
    <w:rsid w:val="00737EF6"/>
    <w:rsid w:val="00740773"/>
    <w:rsid w:val="0074086F"/>
    <w:rsid w:val="00740C4E"/>
    <w:rsid w:val="007412FC"/>
    <w:rsid w:val="00741676"/>
    <w:rsid w:val="007419C2"/>
    <w:rsid w:val="007421D3"/>
    <w:rsid w:val="007421DB"/>
    <w:rsid w:val="007425FE"/>
    <w:rsid w:val="00742745"/>
    <w:rsid w:val="00742864"/>
    <w:rsid w:val="00742EDB"/>
    <w:rsid w:val="00742F00"/>
    <w:rsid w:val="0074354C"/>
    <w:rsid w:val="007435A1"/>
    <w:rsid w:val="007439E8"/>
    <w:rsid w:val="00743B02"/>
    <w:rsid w:val="00743BE7"/>
    <w:rsid w:val="007445D1"/>
    <w:rsid w:val="00744765"/>
    <w:rsid w:val="00744CEE"/>
    <w:rsid w:val="00744F8E"/>
    <w:rsid w:val="0074513B"/>
    <w:rsid w:val="00745304"/>
    <w:rsid w:val="007453F7"/>
    <w:rsid w:val="00745692"/>
    <w:rsid w:val="00745D75"/>
    <w:rsid w:val="00745E94"/>
    <w:rsid w:val="007460CA"/>
    <w:rsid w:val="00747105"/>
    <w:rsid w:val="00747755"/>
    <w:rsid w:val="007478EB"/>
    <w:rsid w:val="00750206"/>
    <w:rsid w:val="00750944"/>
    <w:rsid w:val="00750FB7"/>
    <w:rsid w:val="0075100C"/>
    <w:rsid w:val="007513D5"/>
    <w:rsid w:val="00752061"/>
    <w:rsid w:val="00752106"/>
    <w:rsid w:val="007533F3"/>
    <w:rsid w:val="00753690"/>
    <w:rsid w:val="00753BBB"/>
    <w:rsid w:val="00753F80"/>
    <w:rsid w:val="00754018"/>
    <w:rsid w:val="00754184"/>
    <w:rsid w:val="007541E2"/>
    <w:rsid w:val="007546CD"/>
    <w:rsid w:val="0075488F"/>
    <w:rsid w:val="0075513B"/>
    <w:rsid w:val="00755993"/>
    <w:rsid w:val="00755A51"/>
    <w:rsid w:val="00755B06"/>
    <w:rsid w:val="00755C86"/>
    <w:rsid w:val="00756733"/>
    <w:rsid w:val="0075688E"/>
    <w:rsid w:val="00756963"/>
    <w:rsid w:val="00756FDF"/>
    <w:rsid w:val="0075711B"/>
    <w:rsid w:val="00757361"/>
    <w:rsid w:val="007573E0"/>
    <w:rsid w:val="0075758F"/>
    <w:rsid w:val="00757D5D"/>
    <w:rsid w:val="0076025D"/>
    <w:rsid w:val="0076047D"/>
    <w:rsid w:val="00760777"/>
    <w:rsid w:val="0076098C"/>
    <w:rsid w:val="00761050"/>
    <w:rsid w:val="00761405"/>
    <w:rsid w:val="00761446"/>
    <w:rsid w:val="00761B0E"/>
    <w:rsid w:val="00761DC6"/>
    <w:rsid w:val="0076254E"/>
    <w:rsid w:val="0076285D"/>
    <w:rsid w:val="00762C41"/>
    <w:rsid w:val="0076340A"/>
    <w:rsid w:val="00763709"/>
    <w:rsid w:val="00763A2B"/>
    <w:rsid w:val="00764241"/>
    <w:rsid w:val="0076479D"/>
    <w:rsid w:val="00764D3A"/>
    <w:rsid w:val="00764EF4"/>
    <w:rsid w:val="00765603"/>
    <w:rsid w:val="0076565D"/>
    <w:rsid w:val="007657BC"/>
    <w:rsid w:val="00765832"/>
    <w:rsid w:val="00765AC0"/>
    <w:rsid w:val="00765B24"/>
    <w:rsid w:val="00765BF8"/>
    <w:rsid w:val="00765C20"/>
    <w:rsid w:val="00766377"/>
    <w:rsid w:val="007668AF"/>
    <w:rsid w:val="007669EC"/>
    <w:rsid w:val="00766F18"/>
    <w:rsid w:val="007672B8"/>
    <w:rsid w:val="0076737B"/>
    <w:rsid w:val="007677EF"/>
    <w:rsid w:val="0076789E"/>
    <w:rsid w:val="00767C2E"/>
    <w:rsid w:val="007702A3"/>
    <w:rsid w:val="00770895"/>
    <w:rsid w:val="007708E1"/>
    <w:rsid w:val="00772015"/>
    <w:rsid w:val="00772D9D"/>
    <w:rsid w:val="00772EF5"/>
    <w:rsid w:val="00772FDB"/>
    <w:rsid w:val="0077318F"/>
    <w:rsid w:val="007734A4"/>
    <w:rsid w:val="00773760"/>
    <w:rsid w:val="00773B9E"/>
    <w:rsid w:val="00773BAC"/>
    <w:rsid w:val="00773DFB"/>
    <w:rsid w:val="00773F69"/>
    <w:rsid w:val="007745D7"/>
    <w:rsid w:val="0077491D"/>
    <w:rsid w:val="00774CB0"/>
    <w:rsid w:val="00774E63"/>
    <w:rsid w:val="00774EB9"/>
    <w:rsid w:val="00775188"/>
    <w:rsid w:val="00775244"/>
    <w:rsid w:val="007753AF"/>
    <w:rsid w:val="007755C1"/>
    <w:rsid w:val="007758D4"/>
    <w:rsid w:val="00775D37"/>
    <w:rsid w:val="00776236"/>
    <w:rsid w:val="00776AEA"/>
    <w:rsid w:val="00776D7A"/>
    <w:rsid w:val="00777309"/>
    <w:rsid w:val="00777668"/>
    <w:rsid w:val="00777CA1"/>
    <w:rsid w:val="00780044"/>
    <w:rsid w:val="007801B4"/>
    <w:rsid w:val="007803B2"/>
    <w:rsid w:val="007806B9"/>
    <w:rsid w:val="007807DD"/>
    <w:rsid w:val="007808EB"/>
    <w:rsid w:val="00780E41"/>
    <w:rsid w:val="00780E53"/>
    <w:rsid w:val="00780F98"/>
    <w:rsid w:val="0078283C"/>
    <w:rsid w:val="00782889"/>
    <w:rsid w:val="00782B09"/>
    <w:rsid w:val="00782FE4"/>
    <w:rsid w:val="00783298"/>
    <w:rsid w:val="0078334B"/>
    <w:rsid w:val="00783578"/>
    <w:rsid w:val="00783646"/>
    <w:rsid w:val="007838B4"/>
    <w:rsid w:val="00783E31"/>
    <w:rsid w:val="00783E6E"/>
    <w:rsid w:val="0078444B"/>
    <w:rsid w:val="00784601"/>
    <w:rsid w:val="007849E6"/>
    <w:rsid w:val="00784E62"/>
    <w:rsid w:val="00785389"/>
    <w:rsid w:val="0078564D"/>
    <w:rsid w:val="00785C23"/>
    <w:rsid w:val="00785E2E"/>
    <w:rsid w:val="007863C0"/>
    <w:rsid w:val="00786AEB"/>
    <w:rsid w:val="0078758A"/>
    <w:rsid w:val="00787C3E"/>
    <w:rsid w:val="00787F37"/>
    <w:rsid w:val="007905B8"/>
    <w:rsid w:val="00790F63"/>
    <w:rsid w:val="00791001"/>
    <w:rsid w:val="007915A0"/>
    <w:rsid w:val="0079188F"/>
    <w:rsid w:val="00791976"/>
    <w:rsid w:val="0079217C"/>
    <w:rsid w:val="007922DE"/>
    <w:rsid w:val="00792541"/>
    <w:rsid w:val="007928C5"/>
    <w:rsid w:val="00792DDF"/>
    <w:rsid w:val="0079335D"/>
    <w:rsid w:val="0079336B"/>
    <w:rsid w:val="00793643"/>
    <w:rsid w:val="007938DC"/>
    <w:rsid w:val="00793AB2"/>
    <w:rsid w:val="00793B62"/>
    <w:rsid w:val="00793E68"/>
    <w:rsid w:val="00793F44"/>
    <w:rsid w:val="00793FAE"/>
    <w:rsid w:val="0079474F"/>
    <w:rsid w:val="00794D6C"/>
    <w:rsid w:val="0079500D"/>
    <w:rsid w:val="0079564F"/>
    <w:rsid w:val="00795E93"/>
    <w:rsid w:val="00795FFB"/>
    <w:rsid w:val="00796016"/>
    <w:rsid w:val="0079626F"/>
    <w:rsid w:val="007966FC"/>
    <w:rsid w:val="00796AB1"/>
    <w:rsid w:val="007972C6"/>
    <w:rsid w:val="00797332"/>
    <w:rsid w:val="007973ED"/>
    <w:rsid w:val="007977AE"/>
    <w:rsid w:val="007978EE"/>
    <w:rsid w:val="00797B9D"/>
    <w:rsid w:val="00797E6E"/>
    <w:rsid w:val="00797FD5"/>
    <w:rsid w:val="00797FE1"/>
    <w:rsid w:val="007A04E7"/>
    <w:rsid w:val="007A12A5"/>
    <w:rsid w:val="007A1433"/>
    <w:rsid w:val="007A1637"/>
    <w:rsid w:val="007A25A3"/>
    <w:rsid w:val="007A2701"/>
    <w:rsid w:val="007A29AA"/>
    <w:rsid w:val="007A2AC6"/>
    <w:rsid w:val="007A2E85"/>
    <w:rsid w:val="007A2EDC"/>
    <w:rsid w:val="007A389C"/>
    <w:rsid w:val="007A3BD6"/>
    <w:rsid w:val="007A4004"/>
    <w:rsid w:val="007A404A"/>
    <w:rsid w:val="007A41AE"/>
    <w:rsid w:val="007A44B7"/>
    <w:rsid w:val="007A49B5"/>
    <w:rsid w:val="007A4A99"/>
    <w:rsid w:val="007A52B3"/>
    <w:rsid w:val="007A53FA"/>
    <w:rsid w:val="007A570F"/>
    <w:rsid w:val="007A5833"/>
    <w:rsid w:val="007A58FE"/>
    <w:rsid w:val="007A5AB9"/>
    <w:rsid w:val="007A5F0E"/>
    <w:rsid w:val="007A5F11"/>
    <w:rsid w:val="007A60E0"/>
    <w:rsid w:val="007A63C9"/>
    <w:rsid w:val="007A68B8"/>
    <w:rsid w:val="007A732D"/>
    <w:rsid w:val="007A738D"/>
    <w:rsid w:val="007A766A"/>
    <w:rsid w:val="007A7E12"/>
    <w:rsid w:val="007A7E63"/>
    <w:rsid w:val="007B0591"/>
    <w:rsid w:val="007B07C8"/>
    <w:rsid w:val="007B0CBF"/>
    <w:rsid w:val="007B15BD"/>
    <w:rsid w:val="007B1780"/>
    <w:rsid w:val="007B19FE"/>
    <w:rsid w:val="007B1DB2"/>
    <w:rsid w:val="007B1DB7"/>
    <w:rsid w:val="007B1E27"/>
    <w:rsid w:val="007B2437"/>
    <w:rsid w:val="007B256E"/>
    <w:rsid w:val="007B27D2"/>
    <w:rsid w:val="007B2E54"/>
    <w:rsid w:val="007B2FE1"/>
    <w:rsid w:val="007B3029"/>
    <w:rsid w:val="007B3341"/>
    <w:rsid w:val="007B3648"/>
    <w:rsid w:val="007B383B"/>
    <w:rsid w:val="007B39D8"/>
    <w:rsid w:val="007B4293"/>
    <w:rsid w:val="007B47A1"/>
    <w:rsid w:val="007B47EC"/>
    <w:rsid w:val="007B4838"/>
    <w:rsid w:val="007B49A3"/>
    <w:rsid w:val="007B4FA7"/>
    <w:rsid w:val="007B52B1"/>
    <w:rsid w:val="007B5455"/>
    <w:rsid w:val="007B589B"/>
    <w:rsid w:val="007B5B1C"/>
    <w:rsid w:val="007B6259"/>
    <w:rsid w:val="007B6374"/>
    <w:rsid w:val="007B66AA"/>
    <w:rsid w:val="007B7B34"/>
    <w:rsid w:val="007B7E91"/>
    <w:rsid w:val="007C0485"/>
    <w:rsid w:val="007C0588"/>
    <w:rsid w:val="007C0701"/>
    <w:rsid w:val="007C0970"/>
    <w:rsid w:val="007C0A22"/>
    <w:rsid w:val="007C1336"/>
    <w:rsid w:val="007C17E8"/>
    <w:rsid w:val="007C1966"/>
    <w:rsid w:val="007C1B00"/>
    <w:rsid w:val="007C21BD"/>
    <w:rsid w:val="007C22F8"/>
    <w:rsid w:val="007C2C7A"/>
    <w:rsid w:val="007C30F9"/>
    <w:rsid w:val="007C39E6"/>
    <w:rsid w:val="007C3C9C"/>
    <w:rsid w:val="007C4270"/>
    <w:rsid w:val="007C4383"/>
    <w:rsid w:val="007C4429"/>
    <w:rsid w:val="007C478B"/>
    <w:rsid w:val="007C47B9"/>
    <w:rsid w:val="007C4AF3"/>
    <w:rsid w:val="007C53F8"/>
    <w:rsid w:val="007C60C3"/>
    <w:rsid w:val="007C6A12"/>
    <w:rsid w:val="007C71AB"/>
    <w:rsid w:val="007C7421"/>
    <w:rsid w:val="007C74B6"/>
    <w:rsid w:val="007C75CC"/>
    <w:rsid w:val="007C7937"/>
    <w:rsid w:val="007C7A75"/>
    <w:rsid w:val="007D0834"/>
    <w:rsid w:val="007D0973"/>
    <w:rsid w:val="007D0AB2"/>
    <w:rsid w:val="007D0B5B"/>
    <w:rsid w:val="007D0CE6"/>
    <w:rsid w:val="007D0F48"/>
    <w:rsid w:val="007D136F"/>
    <w:rsid w:val="007D1B91"/>
    <w:rsid w:val="007D1EF8"/>
    <w:rsid w:val="007D1FE3"/>
    <w:rsid w:val="007D209E"/>
    <w:rsid w:val="007D22E7"/>
    <w:rsid w:val="007D2478"/>
    <w:rsid w:val="007D2927"/>
    <w:rsid w:val="007D2C83"/>
    <w:rsid w:val="007D305E"/>
    <w:rsid w:val="007D31CA"/>
    <w:rsid w:val="007D427C"/>
    <w:rsid w:val="007D42B4"/>
    <w:rsid w:val="007D432E"/>
    <w:rsid w:val="007D4942"/>
    <w:rsid w:val="007D4E34"/>
    <w:rsid w:val="007D5552"/>
    <w:rsid w:val="007D573F"/>
    <w:rsid w:val="007D5E6F"/>
    <w:rsid w:val="007D612D"/>
    <w:rsid w:val="007D6CAB"/>
    <w:rsid w:val="007D6D86"/>
    <w:rsid w:val="007D6E73"/>
    <w:rsid w:val="007D6F6E"/>
    <w:rsid w:val="007D746E"/>
    <w:rsid w:val="007D76FD"/>
    <w:rsid w:val="007D7F9D"/>
    <w:rsid w:val="007E0977"/>
    <w:rsid w:val="007E0C70"/>
    <w:rsid w:val="007E0EA6"/>
    <w:rsid w:val="007E1A89"/>
    <w:rsid w:val="007E1B6D"/>
    <w:rsid w:val="007E1BFE"/>
    <w:rsid w:val="007E1C44"/>
    <w:rsid w:val="007E2143"/>
    <w:rsid w:val="007E2295"/>
    <w:rsid w:val="007E2590"/>
    <w:rsid w:val="007E290E"/>
    <w:rsid w:val="007E3398"/>
    <w:rsid w:val="007E33A8"/>
    <w:rsid w:val="007E3502"/>
    <w:rsid w:val="007E3759"/>
    <w:rsid w:val="007E37F5"/>
    <w:rsid w:val="007E3815"/>
    <w:rsid w:val="007E3B8A"/>
    <w:rsid w:val="007E3F6D"/>
    <w:rsid w:val="007E42ED"/>
    <w:rsid w:val="007E4658"/>
    <w:rsid w:val="007E4D19"/>
    <w:rsid w:val="007E507A"/>
    <w:rsid w:val="007E5B50"/>
    <w:rsid w:val="007E5C2E"/>
    <w:rsid w:val="007E6C99"/>
    <w:rsid w:val="007E719E"/>
    <w:rsid w:val="007E771E"/>
    <w:rsid w:val="007E79E8"/>
    <w:rsid w:val="007E7FD9"/>
    <w:rsid w:val="007F00CD"/>
    <w:rsid w:val="007F03E1"/>
    <w:rsid w:val="007F094A"/>
    <w:rsid w:val="007F0C94"/>
    <w:rsid w:val="007F0CA9"/>
    <w:rsid w:val="007F0D03"/>
    <w:rsid w:val="007F1028"/>
    <w:rsid w:val="007F1561"/>
    <w:rsid w:val="007F1D4A"/>
    <w:rsid w:val="007F27E9"/>
    <w:rsid w:val="007F28A1"/>
    <w:rsid w:val="007F2B25"/>
    <w:rsid w:val="007F2B98"/>
    <w:rsid w:val="007F2C75"/>
    <w:rsid w:val="007F2D89"/>
    <w:rsid w:val="007F2E2C"/>
    <w:rsid w:val="007F31CE"/>
    <w:rsid w:val="007F4102"/>
    <w:rsid w:val="007F4122"/>
    <w:rsid w:val="007F4A19"/>
    <w:rsid w:val="007F4E77"/>
    <w:rsid w:val="007F5D7C"/>
    <w:rsid w:val="007F61B1"/>
    <w:rsid w:val="007F629F"/>
    <w:rsid w:val="007F6838"/>
    <w:rsid w:val="007F6B26"/>
    <w:rsid w:val="007F739F"/>
    <w:rsid w:val="007F7A69"/>
    <w:rsid w:val="0080005C"/>
    <w:rsid w:val="00800C08"/>
    <w:rsid w:val="00801670"/>
    <w:rsid w:val="0080169D"/>
    <w:rsid w:val="00801C8F"/>
    <w:rsid w:val="0080215B"/>
    <w:rsid w:val="00802410"/>
    <w:rsid w:val="00802508"/>
    <w:rsid w:val="0080250D"/>
    <w:rsid w:val="008025F5"/>
    <w:rsid w:val="008028EC"/>
    <w:rsid w:val="00802924"/>
    <w:rsid w:val="00803444"/>
    <w:rsid w:val="00803702"/>
    <w:rsid w:val="00803794"/>
    <w:rsid w:val="00803A26"/>
    <w:rsid w:val="00803B97"/>
    <w:rsid w:val="008045F9"/>
    <w:rsid w:val="0080478C"/>
    <w:rsid w:val="0080494B"/>
    <w:rsid w:val="00804EC9"/>
    <w:rsid w:val="008050B5"/>
    <w:rsid w:val="008051E4"/>
    <w:rsid w:val="008057C7"/>
    <w:rsid w:val="00805B53"/>
    <w:rsid w:val="00805E4B"/>
    <w:rsid w:val="00806300"/>
    <w:rsid w:val="00806AC4"/>
    <w:rsid w:val="00807246"/>
    <w:rsid w:val="00807A48"/>
    <w:rsid w:val="00807C81"/>
    <w:rsid w:val="00807D8D"/>
    <w:rsid w:val="00807EAB"/>
    <w:rsid w:val="00810D87"/>
    <w:rsid w:val="00810F94"/>
    <w:rsid w:val="0081101B"/>
    <w:rsid w:val="008117E1"/>
    <w:rsid w:val="00811893"/>
    <w:rsid w:val="008118C9"/>
    <w:rsid w:val="00811A9A"/>
    <w:rsid w:val="00811DBD"/>
    <w:rsid w:val="00811F20"/>
    <w:rsid w:val="00812C22"/>
    <w:rsid w:val="00812FC6"/>
    <w:rsid w:val="0081336B"/>
    <w:rsid w:val="00813576"/>
    <w:rsid w:val="00814616"/>
    <w:rsid w:val="008146F7"/>
    <w:rsid w:val="0081495D"/>
    <w:rsid w:val="008149E8"/>
    <w:rsid w:val="00814CBB"/>
    <w:rsid w:val="0081551E"/>
    <w:rsid w:val="0081566D"/>
    <w:rsid w:val="00815977"/>
    <w:rsid w:val="00815989"/>
    <w:rsid w:val="00815A81"/>
    <w:rsid w:val="00815AB4"/>
    <w:rsid w:val="0081608D"/>
    <w:rsid w:val="0081658D"/>
    <w:rsid w:val="008169BD"/>
    <w:rsid w:val="00816D69"/>
    <w:rsid w:val="008176EF"/>
    <w:rsid w:val="008179EE"/>
    <w:rsid w:val="00817C84"/>
    <w:rsid w:val="00817FAF"/>
    <w:rsid w:val="00820280"/>
    <w:rsid w:val="00820A7F"/>
    <w:rsid w:val="00820C36"/>
    <w:rsid w:val="00820CD3"/>
    <w:rsid w:val="00820F19"/>
    <w:rsid w:val="00821280"/>
    <w:rsid w:val="00821F25"/>
    <w:rsid w:val="00822041"/>
    <w:rsid w:val="008222F9"/>
    <w:rsid w:val="0082276E"/>
    <w:rsid w:val="008231A2"/>
    <w:rsid w:val="008233CD"/>
    <w:rsid w:val="0082377E"/>
    <w:rsid w:val="008238B9"/>
    <w:rsid w:val="00823CAA"/>
    <w:rsid w:val="00824017"/>
    <w:rsid w:val="00824527"/>
    <w:rsid w:val="008246ED"/>
    <w:rsid w:val="008246F0"/>
    <w:rsid w:val="008248A5"/>
    <w:rsid w:val="00824A3A"/>
    <w:rsid w:val="00824F75"/>
    <w:rsid w:val="00825524"/>
    <w:rsid w:val="0082562D"/>
    <w:rsid w:val="00825AF0"/>
    <w:rsid w:val="00825F50"/>
    <w:rsid w:val="00826CAA"/>
    <w:rsid w:val="00827620"/>
    <w:rsid w:val="008301EA"/>
    <w:rsid w:val="008304E6"/>
    <w:rsid w:val="00830551"/>
    <w:rsid w:val="0083062B"/>
    <w:rsid w:val="0083069B"/>
    <w:rsid w:val="00830C5D"/>
    <w:rsid w:val="008311B5"/>
    <w:rsid w:val="00831794"/>
    <w:rsid w:val="00831C2A"/>
    <w:rsid w:val="00831D88"/>
    <w:rsid w:val="00832ACE"/>
    <w:rsid w:val="0083359B"/>
    <w:rsid w:val="00833749"/>
    <w:rsid w:val="00833D8F"/>
    <w:rsid w:val="00834081"/>
    <w:rsid w:val="0083490C"/>
    <w:rsid w:val="00834D47"/>
    <w:rsid w:val="00835220"/>
    <w:rsid w:val="00835643"/>
    <w:rsid w:val="0083564F"/>
    <w:rsid w:val="008359FD"/>
    <w:rsid w:val="00835D15"/>
    <w:rsid w:val="00835F24"/>
    <w:rsid w:val="00835FBD"/>
    <w:rsid w:val="008360AC"/>
    <w:rsid w:val="0083633A"/>
    <w:rsid w:val="008371A8"/>
    <w:rsid w:val="0083730A"/>
    <w:rsid w:val="0083734F"/>
    <w:rsid w:val="0083740C"/>
    <w:rsid w:val="008375B1"/>
    <w:rsid w:val="008379B2"/>
    <w:rsid w:val="00837EDB"/>
    <w:rsid w:val="008401B9"/>
    <w:rsid w:val="00840299"/>
    <w:rsid w:val="0084049A"/>
    <w:rsid w:val="0084097F"/>
    <w:rsid w:val="00841079"/>
    <w:rsid w:val="00841211"/>
    <w:rsid w:val="00841438"/>
    <w:rsid w:val="00841C63"/>
    <w:rsid w:val="0084208A"/>
    <w:rsid w:val="008422EA"/>
    <w:rsid w:val="0084233C"/>
    <w:rsid w:val="0084243A"/>
    <w:rsid w:val="00842497"/>
    <w:rsid w:val="00842FB3"/>
    <w:rsid w:val="00843401"/>
    <w:rsid w:val="0084384D"/>
    <w:rsid w:val="00843CF4"/>
    <w:rsid w:val="00843F1E"/>
    <w:rsid w:val="00844157"/>
    <w:rsid w:val="008444C9"/>
    <w:rsid w:val="008445F9"/>
    <w:rsid w:val="00844635"/>
    <w:rsid w:val="00844775"/>
    <w:rsid w:val="00844EE8"/>
    <w:rsid w:val="0084519E"/>
    <w:rsid w:val="00845698"/>
    <w:rsid w:val="008457B9"/>
    <w:rsid w:val="008465B5"/>
    <w:rsid w:val="00846D82"/>
    <w:rsid w:val="00846F4F"/>
    <w:rsid w:val="00846F69"/>
    <w:rsid w:val="0084733F"/>
    <w:rsid w:val="008473CE"/>
    <w:rsid w:val="00847B69"/>
    <w:rsid w:val="00847BAE"/>
    <w:rsid w:val="00847CEA"/>
    <w:rsid w:val="00847EFD"/>
    <w:rsid w:val="008508AD"/>
    <w:rsid w:val="00850C0B"/>
    <w:rsid w:val="00850EEA"/>
    <w:rsid w:val="00850F8E"/>
    <w:rsid w:val="00850FC5"/>
    <w:rsid w:val="0085116C"/>
    <w:rsid w:val="00851603"/>
    <w:rsid w:val="008519A8"/>
    <w:rsid w:val="00851A15"/>
    <w:rsid w:val="00851A53"/>
    <w:rsid w:val="008520D7"/>
    <w:rsid w:val="0085220C"/>
    <w:rsid w:val="00852322"/>
    <w:rsid w:val="008525C3"/>
    <w:rsid w:val="008526BF"/>
    <w:rsid w:val="0085271B"/>
    <w:rsid w:val="008534B5"/>
    <w:rsid w:val="008535F2"/>
    <w:rsid w:val="00853E79"/>
    <w:rsid w:val="00854147"/>
    <w:rsid w:val="0085422D"/>
    <w:rsid w:val="008547EC"/>
    <w:rsid w:val="00854D47"/>
    <w:rsid w:val="008550B8"/>
    <w:rsid w:val="008553F9"/>
    <w:rsid w:val="008555AE"/>
    <w:rsid w:val="00855626"/>
    <w:rsid w:val="00855E0D"/>
    <w:rsid w:val="00855E6E"/>
    <w:rsid w:val="008563C0"/>
    <w:rsid w:val="00856C7B"/>
    <w:rsid w:val="00856D77"/>
    <w:rsid w:val="00856FB3"/>
    <w:rsid w:val="00857D3B"/>
    <w:rsid w:val="00857EC0"/>
    <w:rsid w:val="00857F9B"/>
    <w:rsid w:val="00860185"/>
    <w:rsid w:val="00860DFF"/>
    <w:rsid w:val="00860EB2"/>
    <w:rsid w:val="00861170"/>
    <w:rsid w:val="0086186D"/>
    <w:rsid w:val="00861A2E"/>
    <w:rsid w:val="00861A8F"/>
    <w:rsid w:val="0086237C"/>
    <w:rsid w:val="0086245E"/>
    <w:rsid w:val="0086294D"/>
    <w:rsid w:val="00863344"/>
    <w:rsid w:val="008633C6"/>
    <w:rsid w:val="008635AD"/>
    <w:rsid w:val="008641BF"/>
    <w:rsid w:val="00864832"/>
    <w:rsid w:val="00864EB5"/>
    <w:rsid w:val="00865BFC"/>
    <w:rsid w:val="00866A11"/>
    <w:rsid w:val="00866F84"/>
    <w:rsid w:val="0086703F"/>
    <w:rsid w:val="00867060"/>
    <w:rsid w:val="008670A6"/>
    <w:rsid w:val="00867693"/>
    <w:rsid w:val="0086769B"/>
    <w:rsid w:val="008678A4"/>
    <w:rsid w:val="00867A72"/>
    <w:rsid w:val="0087061F"/>
    <w:rsid w:val="008706BF"/>
    <w:rsid w:val="00870920"/>
    <w:rsid w:val="00870B34"/>
    <w:rsid w:val="00870C67"/>
    <w:rsid w:val="00870D47"/>
    <w:rsid w:val="008714A7"/>
    <w:rsid w:val="008718F7"/>
    <w:rsid w:val="00871962"/>
    <w:rsid w:val="008719D7"/>
    <w:rsid w:val="00871AC5"/>
    <w:rsid w:val="00871C97"/>
    <w:rsid w:val="00871D7E"/>
    <w:rsid w:val="0087267D"/>
    <w:rsid w:val="008728EF"/>
    <w:rsid w:val="00872A0D"/>
    <w:rsid w:val="008732B3"/>
    <w:rsid w:val="008736A9"/>
    <w:rsid w:val="008743D1"/>
    <w:rsid w:val="00874E6D"/>
    <w:rsid w:val="00874FFA"/>
    <w:rsid w:val="00875710"/>
    <w:rsid w:val="00875A33"/>
    <w:rsid w:val="00875C38"/>
    <w:rsid w:val="00876BDD"/>
    <w:rsid w:val="00876E14"/>
    <w:rsid w:val="00876EEC"/>
    <w:rsid w:val="00877430"/>
    <w:rsid w:val="008778A8"/>
    <w:rsid w:val="0088088E"/>
    <w:rsid w:val="00880E75"/>
    <w:rsid w:val="0088116E"/>
    <w:rsid w:val="008811E3"/>
    <w:rsid w:val="008818E0"/>
    <w:rsid w:val="00881940"/>
    <w:rsid w:val="008819AA"/>
    <w:rsid w:val="00881DF6"/>
    <w:rsid w:val="008822AD"/>
    <w:rsid w:val="008824FA"/>
    <w:rsid w:val="00882697"/>
    <w:rsid w:val="00882916"/>
    <w:rsid w:val="008829CB"/>
    <w:rsid w:val="00882A0A"/>
    <w:rsid w:val="0088338D"/>
    <w:rsid w:val="0088353A"/>
    <w:rsid w:val="00883795"/>
    <w:rsid w:val="00883A1A"/>
    <w:rsid w:val="00883C95"/>
    <w:rsid w:val="00883CB7"/>
    <w:rsid w:val="0088411D"/>
    <w:rsid w:val="00884633"/>
    <w:rsid w:val="008847A4"/>
    <w:rsid w:val="00884B4B"/>
    <w:rsid w:val="00884BD1"/>
    <w:rsid w:val="00884E54"/>
    <w:rsid w:val="00885018"/>
    <w:rsid w:val="00885313"/>
    <w:rsid w:val="0088582E"/>
    <w:rsid w:val="00885856"/>
    <w:rsid w:val="00885B72"/>
    <w:rsid w:val="00885DD3"/>
    <w:rsid w:val="0088633E"/>
    <w:rsid w:val="0088664F"/>
    <w:rsid w:val="00886959"/>
    <w:rsid w:val="00887279"/>
    <w:rsid w:val="008872CD"/>
    <w:rsid w:val="00887AF5"/>
    <w:rsid w:val="008908E1"/>
    <w:rsid w:val="0089090D"/>
    <w:rsid w:val="00890984"/>
    <w:rsid w:val="00891138"/>
    <w:rsid w:val="0089186D"/>
    <w:rsid w:val="00891E06"/>
    <w:rsid w:val="00891E14"/>
    <w:rsid w:val="00891FEA"/>
    <w:rsid w:val="008921C5"/>
    <w:rsid w:val="008921F0"/>
    <w:rsid w:val="0089224E"/>
    <w:rsid w:val="008922F3"/>
    <w:rsid w:val="00892617"/>
    <w:rsid w:val="00892730"/>
    <w:rsid w:val="00892987"/>
    <w:rsid w:val="00893124"/>
    <w:rsid w:val="0089340F"/>
    <w:rsid w:val="0089341E"/>
    <w:rsid w:val="00893490"/>
    <w:rsid w:val="008934BA"/>
    <w:rsid w:val="00893799"/>
    <w:rsid w:val="00893A22"/>
    <w:rsid w:val="00893D4F"/>
    <w:rsid w:val="0089417C"/>
    <w:rsid w:val="00894DEE"/>
    <w:rsid w:val="00894E72"/>
    <w:rsid w:val="00895117"/>
    <w:rsid w:val="00895206"/>
    <w:rsid w:val="0089528D"/>
    <w:rsid w:val="00895574"/>
    <w:rsid w:val="0089572A"/>
    <w:rsid w:val="00895A3B"/>
    <w:rsid w:val="00895C40"/>
    <w:rsid w:val="00895EAB"/>
    <w:rsid w:val="00896FE3"/>
    <w:rsid w:val="008975A5"/>
    <w:rsid w:val="00897691"/>
    <w:rsid w:val="00897E0A"/>
    <w:rsid w:val="00897E8E"/>
    <w:rsid w:val="00897FFA"/>
    <w:rsid w:val="008A010A"/>
    <w:rsid w:val="008A0693"/>
    <w:rsid w:val="008A09DA"/>
    <w:rsid w:val="008A10F7"/>
    <w:rsid w:val="008A1B59"/>
    <w:rsid w:val="008A1E31"/>
    <w:rsid w:val="008A233E"/>
    <w:rsid w:val="008A2D5E"/>
    <w:rsid w:val="008A30EB"/>
    <w:rsid w:val="008A356B"/>
    <w:rsid w:val="008A475B"/>
    <w:rsid w:val="008A4778"/>
    <w:rsid w:val="008A4B52"/>
    <w:rsid w:val="008A50BB"/>
    <w:rsid w:val="008A55DC"/>
    <w:rsid w:val="008A577F"/>
    <w:rsid w:val="008A5E0C"/>
    <w:rsid w:val="008A5F3A"/>
    <w:rsid w:val="008A6251"/>
    <w:rsid w:val="008A650C"/>
    <w:rsid w:val="008A666C"/>
    <w:rsid w:val="008A67FE"/>
    <w:rsid w:val="008A687C"/>
    <w:rsid w:val="008A689C"/>
    <w:rsid w:val="008A68C3"/>
    <w:rsid w:val="008A6B24"/>
    <w:rsid w:val="008A71B2"/>
    <w:rsid w:val="008A7222"/>
    <w:rsid w:val="008B0013"/>
    <w:rsid w:val="008B062E"/>
    <w:rsid w:val="008B0907"/>
    <w:rsid w:val="008B09A7"/>
    <w:rsid w:val="008B0A8D"/>
    <w:rsid w:val="008B1081"/>
    <w:rsid w:val="008B1382"/>
    <w:rsid w:val="008B138A"/>
    <w:rsid w:val="008B1996"/>
    <w:rsid w:val="008B1ABB"/>
    <w:rsid w:val="008B1F70"/>
    <w:rsid w:val="008B2362"/>
    <w:rsid w:val="008B30D0"/>
    <w:rsid w:val="008B30DA"/>
    <w:rsid w:val="008B38BC"/>
    <w:rsid w:val="008B3ED5"/>
    <w:rsid w:val="008B42D9"/>
    <w:rsid w:val="008B4642"/>
    <w:rsid w:val="008B47F8"/>
    <w:rsid w:val="008B4B25"/>
    <w:rsid w:val="008B56D2"/>
    <w:rsid w:val="008B5761"/>
    <w:rsid w:val="008B5C18"/>
    <w:rsid w:val="008B5C54"/>
    <w:rsid w:val="008B6507"/>
    <w:rsid w:val="008B6592"/>
    <w:rsid w:val="008B71CF"/>
    <w:rsid w:val="008B72A3"/>
    <w:rsid w:val="008B743E"/>
    <w:rsid w:val="008B7688"/>
    <w:rsid w:val="008B791F"/>
    <w:rsid w:val="008B7B15"/>
    <w:rsid w:val="008C04C2"/>
    <w:rsid w:val="008C089A"/>
    <w:rsid w:val="008C09AE"/>
    <w:rsid w:val="008C0E22"/>
    <w:rsid w:val="008C1B01"/>
    <w:rsid w:val="008C251F"/>
    <w:rsid w:val="008C2B1D"/>
    <w:rsid w:val="008C2E23"/>
    <w:rsid w:val="008C35A4"/>
    <w:rsid w:val="008C39E0"/>
    <w:rsid w:val="008C3AC0"/>
    <w:rsid w:val="008C4249"/>
    <w:rsid w:val="008C4F3E"/>
    <w:rsid w:val="008C524D"/>
    <w:rsid w:val="008C5309"/>
    <w:rsid w:val="008C6100"/>
    <w:rsid w:val="008C6169"/>
    <w:rsid w:val="008C6310"/>
    <w:rsid w:val="008C69EF"/>
    <w:rsid w:val="008C7019"/>
    <w:rsid w:val="008C723D"/>
    <w:rsid w:val="008C73E9"/>
    <w:rsid w:val="008C74C3"/>
    <w:rsid w:val="008C7922"/>
    <w:rsid w:val="008C79BF"/>
    <w:rsid w:val="008C7B97"/>
    <w:rsid w:val="008D0A56"/>
    <w:rsid w:val="008D116B"/>
    <w:rsid w:val="008D13D5"/>
    <w:rsid w:val="008D13E3"/>
    <w:rsid w:val="008D1620"/>
    <w:rsid w:val="008D1689"/>
    <w:rsid w:val="008D2476"/>
    <w:rsid w:val="008D2697"/>
    <w:rsid w:val="008D2B81"/>
    <w:rsid w:val="008D2BE5"/>
    <w:rsid w:val="008D30B1"/>
    <w:rsid w:val="008D32B3"/>
    <w:rsid w:val="008D337B"/>
    <w:rsid w:val="008D3BF6"/>
    <w:rsid w:val="008D4232"/>
    <w:rsid w:val="008D4917"/>
    <w:rsid w:val="008D51E9"/>
    <w:rsid w:val="008D5764"/>
    <w:rsid w:val="008D5B33"/>
    <w:rsid w:val="008D5B8A"/>
    <w:rsid w:val="008D7258"/>
    <w:rsid w:val="008D789E"/>
    <w:rsid w:val="008D78A9"/>
    <w:rsid w:val="008D7A98"/>
    <w:rsid w:val="008E012C"/>
    <w:rsid w:val="008E029E"/>
    <w:rsid w:val="008E02C3"/>
    <w:rsid w:val="008E0FB1"/>
    <w:rsid w:val="008E13D3"/>
    <w:rsid w:val="008E1BBB"/>
    <w:rsid w:val="008E1EB5"/>
    <w:rsid w:val="008E1F91"/>
    <w:rsid w:val="008E295C"/>
    <w:rsid w:val="008E2B90"/>
    <w:rsid w:val="008E2B9E"/>
    <w:rsid w:val="008E2FC0"/>
    <w:rsid w:val="008E321F"/>
    <w:rsid w:val="008E3370"/>
    <w:rsid w:val="008E3398"/>
    <w:rsid w:val="008E3621"/>
    <w:rsid w:val="008E3939"/>
    <w:rsid w:val="008E39A4"/>
    <w:rsid w:val="008E39BC"/>
    <w:rsid w:val="008E3C6D"/>
    <w:rsid w:val="008E3CD7"/>
    <w:rsid w:val="008E3F00"/>
    <w:rsid w:val="008E4535"/>
    <w:rsid w:val="008E4660"/>
    <w:rsid w:val="008E4BF4"/>
    <w:rsid w:val="008E4D4F"/>
    <w:rsid w:val="008E5136"/>
    <w:rsid w:val="008E53F1"/>
    <w:rsid w:val="008E5C39"/>
    <w:rsid w:val="008E64CF"/>
    <w:rsid w:val="008E68A3"/>
    <w:rsid w:val="008E69F5"/>
    <w:rsid w:val="008E728F"/>
    <w:rsid w:val="008F02B2"/>
    <w:rsid w:val="008F0411"/>
    <w:rsid w:val="008F0C7C"/>
    <w:rsid w:val="008F0D11"/>
    <w:rsid w:val="008F0D34"/>
    <w:rsid w:val="008F16DA"/>
    <w:rsid w:val="008F18AD"/>
    <w:rsid w:val="008F18C4"/>
    <w:rsid w:val="008F1D79"/>
    <w:rsid w:val="008F212C"/>
    <w:rsid w:val="008F218F"/>
    <w:rsid w:val="008F21D9"/>
    <w:rsid w:val="008F2477"/>
    <w:rsid w:val="008F26C6"/>
    <w:rsid w:val="008F2F2A"/>
    <w:rsid w:val="008F2FDE"/>
    <w:rsid w:val="008F3119"/>
    <w:rsid w:val="008F3321"/>
    <w:rsid w:val="008F342A"/>
    <w:rsid w:val="008F3569"/>
    <w:rsid w:val="008F3AE5"/>
    <w:rsid w:val="008F3ED3"/>
    <w:rsid w:val="008F46A6"/>
    <w:rsid w:val="008F51F3"/>
    <w:rsid w:val="008F5326"/>
    <w:rsid w:val="008F64EB"/>
    <w:rsid w:val="008F6CD6"/>
    <w:rsid w:val="008F6FB9"/>
    <w:rsid w:val="008F76C8"/>
    <w:rsid w:val="008F7A8A"/>
    <w:rsid w:val="008F7A94"/>
    <w:rsid w:val="008F7AC5"/>
    <w:rsid w:val="008F7B4A"/>
    <w:rsid w:val="008F7DAF"/>
    <w:rsid w:val="008F7EA2"/>
    <w:rsid w:val="009003AA"/>
    <w:rsid w:val="0090071D"/>
    <w:rsid w:val="00900BBE"/>
    <w:rsid w:val="009013FF"/>
    <w:rsid w:val="009017DC"/>
    <w:rsid w:val="0090193C"/>
    <w:rsid w:val="00902638"/>
    <w:rsid w:val="0090282A"/>
    <w:rsid w:val="00902CCB"/>
    <w:rsid w:val="00903886"/>
    <w:rsid w:val="00903A52"/>
    <w:rsid w:val="00903E29"/>
    <w:rsid w:val="00904018"/>
    <w:rsid w:val="009044A8"/>
    <w:rsid w:val="0090471C"/>
    <w:rsid w:val="00904C5A"/>
    <w:rsid w:val="0090517B"/>
    <w:rsid w:val="0090592A"/>
    <w:rsid w:val="00906079"/>
    <w:rsid w:val="009061BF"/>
    <w:rsid w:val="0090652F"/>
    <w:rsid w:val="00906671"/>
    <w:rsid w:val="009077F1"/>
    <w:rsid w:val="009078EB"/>
    <w:rsid w:val="00907F73"/>
    <w:rsid w:val="00911162"/>
    <w:rsid w:val="00911A2B"/>
    <w:rsid w:val="0091232E"/>
    <w:rsid w:val="0091248D"/>
    <w:rsid w:val="00912A59"/>
    <w:rsid w:val="00912B31"/>
    <w:rsid w:val="00912C73"/>
    <w:rsid w:val="00912DA3"/>
    <w:rsid w:val="00912E94"/>
    <w:rsid w:val="00912F03"/>
    <w:rsid w:val="00913D70"/>
    <w:rsid w:val="00914175"/>
    <w:rsid w:val="009143BB"/>
    <w:rsid w:val="0091468C"/>
    <w:rsid w:val="00914A6E"/>
    <w:rsid w:val="0091510E"/>
    <w:rsid w:val="00915526"/>
    <w:rsid w:val="009164CC"/>
    <w:rsid w:val="00916596"/>
    <w:rsid w:val="00916BFE"/>
    <w:rsid w:val="00917E9A"/>
    <w:rsid w:val="009201A2"/>
    <w:rsid w:val="009203A4"/>
    <w:rsid w:val="00920476"/>
    <w:rsid w:val="00920517"/>
    <w:rsid w:val="00921318"/>
    <w:rsid w:val="0092160E"/>
    <w:rsid w:val="00921D00"/>
    <w:rsid w:val="00921DE8"/>
    <w:rsid w:val="009220D7"/>
    <w:rsid w:val="0092226D"/>
    <w:rsid w:val="00922B52"/>
    <w:rsid w:val="00923BE5"/>
    <w:rsid w:val="00923F76"/>
    <w:rsid w:val="00923FF0"/>
    <w:rsid w:val="00924272"/>
    <w:rsid w:val="0092428D"/>
    <w:rsid w:val="009254ED"/>
    <w:rsid w:val="009259C7"/>
    <w:rsid w:val="00925D91"/>
    <w:rsid w:val="00926277"/>
    <w:rsid w:val="0092682D"/>
    <w:rsid w:val="009269FC"/>
    <w:rsid w:val="00926B2B"/>
    <w:rsid w:val="00926FB1"/>
    <w:rsid w:val="00927628"/>
    <w:rsid w:val="009279A1"/>
    <w:rsid w:val="00927B1E"/>
    <w:rsid w:val="00927C7C"/>
    <w:rsid w:val="00927EDA"/>
    <w:rsid w:val="00927FA7"/>
    <w:rsid w:val="00930566"/>
    <w:rsid w:val="00930755"/>
    <w:rsid w:val="00930FB4"/>
    <w:rsid w:val="00931008"/>
    <w:rsid w:val="00931665"/>
    <w:rsid w:val="00931936"/>
    <w:rsid w:val="009322AC"/>
    <w:rsid w:val="00932BCA"/>
    <w:rsid w:val="00932CD0"/>
    <w:rsid w:val="00933195"/>
    <w:rsid w:val="00933442"/>
    <w:rsid w:val="00933828"/>
    <w:rsid w:val="00933D73"/>
    <w:rsid w:val="00933D80"/>
    <w:rsid w:val="00933D9F"/>
    <w:rsid w:val="00934029"/>
    <w:rsid w:val="009341F3"/>
    <w:rsid w:val="00934225"/>
    <w:rsid w:val="00934836"/>
    <w:rsid w:val="00934A5C"/>
    <w:rsid w:val="00935302"/>
    <w:rsid w:val="00935406"/>
    <w:rsid w:val="009354B1"/>
    <w:rsid w:val="009358FD"/>
    <w:rsid w:val="00935973"/>
    <w:rsid w:val="00935D97"/>
    <w:rsid w:val="00935E81"/>
    <w:rsid w:val="00935EF1"/>
    <w:rsid w:val="00935FD0"/>
    <w:rsid w:val="00935FD6"/>
    <w:rsid w:val="009363A8"/>
    <w:rsid w:val="009363E7"/>
    <w:rsid w:val="00936447"/>
    <w:rsid w:val="00936770"/>
    <w:rsid w:val="0093736A"/>
    <w:rsid w:val="009375E5"/>
    <w:rsid w:val="009376B6"/>
    <w:rsid w:val="009379D2"/>
    <w:rsid w:val="00937B29"/>
    <w:rsid w:val="00937FC1"/>
    <w:rsid w:val="00940624"/>
    <w:rsid w:val="00940C5D"/>
    <w:rsid w:val="00940E23"/>
    <w:rsid w:val="00941367"/>
    <w:rsid w:val="00941448"/>
    <w:rsid w:val="00941814"/>
    <w:rsid w:val="009418B5"/>
    <w:rsid w:val="00941B55"/>
    <w:rsid w:val="00941D27"/>
    <w:rsid w:val="00941EA5"/>
    <w:rsid w:val="009424F9"/>
    <w:rsid w:val="00943741"/>
    <w:rsid w:val="009447FB"/>
    <w:rsid w:val="00944975"/>
    <w:rsid w:val="00944A36"/>
    <w:rsid w:val="009450F0"/>
    <w:rsid w:val="00945207"/>
    <w:rsid w:val="00945B0A"/>
    <w:rsid w:val="009465A9"/>
    <w:rsid w:val="00946614"/>
    <w:rsid w:val="00946854"/>
    <w:rsid w:val="009469D6"/>
    <w:rsid w:val="009472DF"/>
    <w:rsid w:val="009475F8"/>
    <w:rsid w:val="00947A65"/>
    <w:rsid w:val="00947ACF"/>
    <w:rsid w:val="00947F9B"/>
    <w:rsid w:val="00947FF8"/>
    <w:rsid w:val="009509CF"/>
    <w:rsid w:val="00950EDB"/>
    <w:rsid w:val="009518D6"/>
    <w:rsid w:val="0095196F"/>
    <w:rsid w:val="00951F8A"/>
    <w:rsid w:val="0095222F"/>
    <w:rsid w:val="00952B00"/>
    <w:rsid w:val="00952B19"/>
    <w:rsid w:val="00952BA9"/>
    <w:rsid w:val="0095376C"/>
    <w:rsid w:val="00953B4C"/>
    <w:rsid w:val="00954385"/>
    <w:rsid w:val="009545C7"/>
    <w:rsid w:val="009545EF"/>
    <w:rsid w:val="0095582B"/>
    <w:rsid w:val="00955A9F"/>
    <w:rsid w:val="00955B56"/>
    <w:rsid w:val="00955D56"/>
    <w:rsid w:val="00955DE5"/>
    <w:rsid w:val="00955F05"/>
    <w:rsid w:val="00956258"/>
    <w:rsid w:val="009567CB"/>
    <w:rsid w:val="00956B00"/>
    <w:rsid w:val="00956BD8"/>
    <w:rsid w:val="00956C16"/>
    <w:rsid w:val="00956C26"/>
    <w:rsid w:val="009605E4"/>
    <w:rsid w:val="00960E19"/>
    <w:rsid w:val="00960ECF"/>
    <w:rsid w:val="009612C9"/>
    <w:rsid w:val="009616E0"/>
    <w:rsid w:val="00961760"/>
    <w:rsid w:val="00961DB6"/>
    <w:rsid w:val="009622F3"/>
    <w:rsid w:val="0096263D"/>
    <w:rsid w:val="009627F4"/>
    <w:rsid w:val="00962B91"/>
    <w:rsid w:val="00962E3D"/>
    <w:rsid w:val="00963408"/>
    <w:rsid w:val="009639F7"/>
    <w:rsid w:val="00963D5E"/>
    <w:rsid w:val="00963DC0"/>
    <w:rsid w:val="00963E57"/>
    <w:rsid w:val="009642F8"/>
    <w:rsid w:val="00964820"/>
    <w:rsid w:val="00964891"/>
    <w:rsid w:val="00964FEC"/>
    <w:rsid w:val="00965278"/>
    <w:rsid w:val="009653E7"/>
    <w:rsid w:val="00965918"/>
    <w:rsid w:val="00965C68"/>
    <w:rsid w:val="00965E3D"/>
    <w:rsid w:val="0096760E"/>
    <w:rsid w:val="0096772A"/>
    <w:rsid w:val="009677A6"/>
    <w:rsid w:val="009678B6"/>
    <w:rsid w:val="0097011E"/>
    <w:rsid w:val="009701E2"/>
    <w:rsid w:val="00970609"/>
    <w:rsid w:val="009707BE"/>
    <w:rsid w:val="00970E1B"/>
    <w:rsid w:val="009711C4"/>
    <w:rsid w:val="0097175B"/>
    <w:rsid w:val="0097188A"/>
    <w:rsid w:val="00972172"/>
    <w:rsid w:val="009721CE"/>
    <w:rsid w:val="00972422"/>
    <w:rsid w:val="00972452"/>
    <w:rsid w:val="0097282A"/>
    <w:rsid w:val="00972892"/>
    <w:rsid w:val="009737C5"/>
    <w:rsid w:val="00973CD8"/>
    <w:rsid w:val="00973CF2"/>
    <w:rsid w:val="009741BC"/>
    <w:rsid w:val="00975118"/>
    <w:rsid w:val="009751C7"/>
    <w:rsid w:val="0097571E"/>
    <w:rsid w:val="00975BDE"/>
    <w:rsid w:val="0097617C"/>
    <w:rsid w:val="009767A6"/>
    <w:rsid w:val="0097739D"/>
    <w:rsid w:val="00977518"/>
    <w:rsid w:val="00977A5A"/>
    <w:rsid w:val="00977D4C"/>
    <w:rsid w:val="00980120"/>
    <w:rsid w:val="009801E8"/>
    <w:rsid w:val="00980339"/>
    <w:rsid w:val="0098041B"/>
    <w:rsid w:val="0098048F"/>
    <w:rsid w:val="009804A2"/>
    <w:rsid w:val="00980CB2"/>
    <w:rsid w:val="00980D86"/>
    <w:rsid w:val="0098182C"/>
    <w:rsid w:val="00981B8A"/>
    <w:rsid w:val="009820A7"/>
    <w:rsid w:val="0098225C"/>
    <w:rsid w:val="0098238B"/>
    <w:rsid w:val="009826A6"/>
    <w:rsid w:val="00982793"/>
    <w:rsid w:val="009827B7"/>
    <w:rsid w:val="00982897"/>
    <w:rsid w:val="009828E1"/>
    <w:rsid w:val="00982B72"/>
    <w:rsid w:val="00982DA1"/>
    <w:rsid w:val="00983370"/>
    <w:rsid w:val="00983527"/>
    <w:rsid w:val="0098353D"/>
    <w:rsid w:val="009837F7"/>
    <w:rsid w:val="009838DF"/>
    <w:rsid w:val="0098391F"/>
    <w:rsid w:val="00983D87"/>
    <w:rsid w:val="00983E78"/>
    <w:rsid w:val="00984033"/>
    <w:rsid w:val="00984077"/>
    <w:rsid w:val="009842F9"/>
    <w:rsid w:val="0098431A"/>
    <w:rsid w:val="00984625"/>
    <w:rsid w:val="00984766"/>
    <w:rsid w:val="00984841"/>
    <w:rsid w:val="00984C0A"/>
    <w:rsid w:val="00984C16"/>
    <w:rsid w:val="00984D13"/>
    <w:rsid w:val="00984FF7"/>
    <w:rsid w:val="00985ADD"/>
    <w:rsid w:val="00985BC8"/>
    <w:rsid w:val="00985DE0"/>
    <w:rsid w:val="00985FFA"/>
    <w:rsid w:val="0098612C"/>
    <w:rsid w:val="009861E8"/>
    <w:rsid w:val="009866B2"/>
    <w:rsid w:val="009866D3"/>
    <w:rsid w:val="00986809"/>
    <w:rsid w:val="00986812"/>
    <w:rsid w:val="00986F49"/>
    <w:rsid w:val="009872F6"/>
    <w:rsid w:val="00987A04"/>
    <w:rsid w:val="00987BFF"/>
    <w:rsid w:val="00987E8D"/>
    <w:rsid w:val="00990690"/>
    <w:rsid w:val="009907C9"/>
    <w:rsid w:val="00990BFD"/>
    <w:rsid w:val="00990C08"/>
    <w:rsid w:val="00990E99"/>
    <w:rsid w:val="009910C7"/>
    <w:rsid w:val="009913FB"/>
    <w:rsid w:val="00992CE6"/>
    <w:rsid w:val="00992F62"/>
    <w:rsid w:val="00992FF9"/>
    <w:rsid w:val="00993011"/>
    <w:rsid w:val="00993235"/>
    <w:rsid w:val="0099336A"/>
    <w:rsid w:val="0099342B"/>
    <w:rsid w:val="0099390E"/>
    <w:rsid w:val="00994061"/>
    <w:rsid w:val="00995534"/>
    <w:rsid w:val="00995F33"/>
    <w:rsid w:val="009960E5"/>
    <w:rsid w:val="009962E2"/>
    <w:rsid w:val="009964D5"/>
    <w:rsid w:val="00996ABE"/>
    <w:rsid w:val="00996E5C"/>
    <w:rsid w:val="009974EE"/>
    <w:rsid w:val="00997834"/>
    <w:rsid w:val="0099787B"/>
    <w:rsid w:val="00997903"/>
    <w:rsid w:val="00997A0F"/>
    <w:rsid w:val="00997F99"/>
    <w:rsid w:val="009A0732"/>
    <w:rsid w:val="009A0A1A"/>
    <w:rsid w:val="009A0C9B"/>
    <w:rsid w:val="009A187D"/>
    <w:rsid w:val="009A1B6F"/>
    <w:rsid w:val="009A1C26"/>
    <w:rsid w:val="009A1C57"/>
    <w:rsid w:val="009A2821"/>
    <w:rsid w:val="009A2DB9"/>
    <w:rsid w:val="009A3048"/>
    <w:rsid w:val="009A34C9"/>
    <w:rsid w:val="009A36A2"/>
    <w:rsid w:val="009A4285"/>
    <w:rsid w:val="009A4668"/>
    <w:rsid w:val="009A46A6"/>
    <w:rsid w:val="009A492D"/>
    <w:rsid w:val="009A4D18"/>
    <w:rsid w:val="009A505B"/>
    <w:rsid w:val="009A5579"/>
    <w:rsid w:val="009A55E6"/>
    <w:rsid w:val="009A56E0"/>
    <w:rsid w:val="009A59FD"/>
    <w:rsid w:val="009A5E11"/>
    <w:rsid w:val="009A655F"/>
    <w:rsid w:val="009A6CF1"/>
    <w:rsid w:val="009A6F63"/>
    <w:rsid w:val="009A6FC8"/>
    <w:rsid w:val="009A7893"/>
    <w:rsid w:val="009A7CE5"/>
    <w:rsid w:val="009A7F91"/>
    <w:rsid w:val="009B02F2"/>
    <w:rsid w:val="009B0807"/>
    <w:rsid w:val="009B0B78"/>
    <w:rsid w:val="009B1030"/>
    <w:rsid w:val="009B1859"/>
    <w:rsid w:val="009B1AE6"/>
    <w:rsid w:val="009B2184"/>
    <w:rsid w:val="009B258B"/>
    <w:rsid w:val="009B276B"/>
    <w:rsid w:val="009B2918"/>
    <w:rsid w:val="009B2ABB"/>
    <w:rsid w:val="009B334A"/>
    <w:rsid w:val="009B3936"/>
    <w:rsid w:val="009B3D3E"/>
    <w:rsid w:val="009B406C"/>
    <w:rsid w:val="009B4251"/>
    <w:rsid w:val="009B43C4"/>
    <w:rsid w:val="009B4551"/>
    <w:rsid w:val="009B46C2"/>
    <w:rsid w:val="009B4796"/>
    <w:rsid w:val="009B530B"/>
    <w:rsid w:val="009B576C"/>
    <w:rsid w:val="009B57FA"/>
    <w:rsid w:val="009B5E11"/>
    <w:rsid w:val="009B605C"/>
    <w:rsid w:val="009B606E"/>
    <w:rsid w:val="009B6780"/>
    <w:rsid w:val="009B6964"/>
    <w:rsid w:val="009B74F6"/>
    <w:rsid w:val="009B768A"/>
    <w:rsid w:val="009B7DFF"/>
    <w:rsid w:val="009B7E1A"/>
    <w:rsid w:val="009C0791"/>
    <w:rsid w:val="009C099C"/>
    <w:rsid w:val="009C146D"/>
    <w:rsid w:val="009C1525"/>
    <w:rsid w:val="009C18C4"/>
    <w:rsid w:val="009C20C2"/>
    <w:rsid w:val="009C2BE4"/>
    <w:rsid w:val="009C302C"/>
    <w:rsid w:val="009C33F2"/>
    <w:rsid w:val="009C3558"/>
    <w:rsid w:val="009C38BF"/>
    <w:rsid w:val="009C3954"/>
    <w:rsid w:val="009C3F70"/>
    <w:rsid w:val="009C4559"/>
    <w:rsid w:val="009C4884"/>
    <w:rsid w:val="009C4E02"/>
    <w:rsid w:val="009C4F9B"/>
    <w:rsid w:val="009C5502"/>
    <w:rsid w:val="009C558B"/>
    <w:rsid w:val="009C56BD"/>
    <w:rsid w:val="009C5D73"/>
    <w:rsid w:val="009C60EC"/>
    <w:rsid w:val="009C61A0"/>
    <w:rsid w:val="009C6267"/>
    <w:rsid w:val="009C6DF4"/>
    <w:rsid w:val="009C72E2"/>
    <w:rsid w:val="009C75A9"/>
    <w:rsid w:val="009C79A5"/>
    <w:rsid w:val="009C7B2E"/>
    <w:rsid w:val="009C7B71"/>
    <w:rsid w:val="009C7CEA"/>
    <w:rsid w:val="009D0334"/>
    <w:rsid w:val="009D08BD"/>
    <w:rsid w:val="009D0DD0"/>
    <w:rsid w:val="009D0EFA"/>
    <w:rsid w:val="009D11B7"/>
    <w:rsid w:val="009D1265"/>
    <w:rsid w:val="009D170B"/>
    <w:rsid w:val="009D17D7"/>
    <w:rsid w:val="009D18C8"/>
    <w:rsid w:val="009D18DC"/>
    <w:rsid w:val="009D1D11"/>
    <w:rsid w:val="009D23A6"/>
    <w:rsid w:val="009D2696"/>
    <w:rsid w:val="009D27A2"/>
    <w:rsid w:val="009D2B9B"/>
    <w:rsid w:val="009D2C28"/>
    <w:rsid w:val="009D3603"/>
    <w:rsid w:val="009D3D61"/>
    <w:rsid w:val="009D4A67"/>
    <w:rsid w:val="009D4E81"/>
    <w:rsid w:val="009D5001"/>
    <w:rsid w:val="009D5081"/>
    <w:rsid w:val="009D54D5"/>
    <w:rsid w:val="009D560B"/>
    <w:rsid w:val="009D569F"/>
    <w:rsid w:val="009D5718"/>
    <w:rsid w:val="009D5747"/>
    <w:rsid w:val="009D5BD0"/>
    <w:rsid w:val="009D6435"/>
    <w:rsid w:val="009D687E"/>
    <w:rsid w:val="009D6B3F"/>
    <w:rsid w:val="009D736A"/>
    <w:rsid w:val="009D7413"/>
    <w:rsid w:val="009D7493"/>
    <w:rsid w:val="009D77AF"/>
    <w:rsid w:val="009D7AA1"/>
    <w:rsid w:val="009D7CED"/>
    <w:rsid w:val="009E01D6"/>
    <w:rsid w:val="009E0B57"/>
    <w:rsid w:val="009E104F"/>
    <w:rsid w:val="009E117B"/>
    <w:rsid w:val="009E12F2"/>
    <w:rsid w:val="009E1C01"/>
    <w:rsid w:val="009E1D95"/>
    <w:rsid w:val="009E20A9"/>
    <w:rsid w:val="009E230E"/>
    <w:rsid w:val="009E3241"/>
    <w:rsid w:val="009E3A79"/>
    <w:rsid w:val="009E3F3A"/>
    <w:rsid w:val="009E428A"/>
    <w:rsid w:val="009E4364"/>
    <w:rsid w:val="009E456F"/>
    <w:rsid w:val="009E45AC"/>
    <w:rsid w:val="009E4777"/>
    <w:rsid w:val="009E4E87"/>
    <w:rsid w:val="009E51A5"/>
    <w:rsid w:val="009E541E"/>
    <w:rsid w:val="009E5B29"/>
    <w:rsid w:val="009E6251"/>
    <w:rsid w:val="009E6502"/>
    <w:rsid w:val="009E6525"/>
    <w:rsid w:val="009E69E4"/>
    <w:rsid w:val="009E6AC8"/>
    <w:rsid w:val="009E7060"/>
    <w:rsid w:val="009E70B0"/>
    <w:rsid w:val="009E7157"/>
    <w:rsid w:val="009E729E"/>
    <w:rsid w:val="009E72CE"/>
    <w:rsid w:val="009E7356"/>
    <w:rsid w:val="009E77DF"/>
    <w:rsid w:val="009E78D3"/>
    <w:rsid w:val="009F00E6"/>
    <w:rsid w:val="009F02A7"/>
    <w:rsid w:val="009F0912"/>
    <w:rsid w:val="009F185F"/>
    <w:rsid w:val="009F1B14"/>
    <w:rsid w:val="009F1B30"/>
    <w:rsid w:val="009F1C50"/>
    <w:rsid w:val="009F1D34"/>
    <w:rsid w:val="009F2236"/>
    <w:rsid w:val="009F2392"/>
    <w:rsid w:val="009F23FA"/>
    <w:rsid w:val="009F266F"/>
    <w:rsid w:val="009F29DF"/>
    <w:rsid w:val="009F2C7B"/>
    <w:rsid w:val="009F308B"/>
    <w:rsid w:val="009F314D"/>
    <w:rsid w:val="009F367B"/>
    <w:rsid w:val="009F3C30"/>
    <w:rsid w:val="009F3F7C"/>
    <w:rsid w:val="009F3F81"/>
    <w:rsid w:val="009F407E"/>
    <w:rsid w:val="009F4346"/>
    <w:rsid w:val="009F4EC1"/>
    <w:rsid w:val="009F4FC4"/>
    <w:rsid w:val="009F5ABD"/>
    <w:rsid w:val="009F65BF"/>
    <w:rsid w:val="009F68E1"/>
    <w:rsid w:val="009F713E"/>
    <w:rsid w:val="009F763D"/>
    <w:rsid w:val="00A00A06"/>
    <w:rsid w:val="00A01034"/>
    <w:rsid w:val="00A01EB5"/>
    <w:rsid w:val="00A01F57"/>
    <w:rsid w:val="00A02027"/>
    <w:rsid w:val="00A02135"/>
    <w:rsid w:val="00A025F8"/>
    <w:rsid w:val="00A02E39"/>
    <w:rsid w:val="00A03438"/>
    <w:rsid w:val="00A035B7"/>
    <w:rsid w:val="00A036F6"/>
    <w:rsid w:val="00A03F34"/>
    <w:rsid w:val="00A04166"/>
    <w:rsid w:val="00A04184"/>
    <w:rsid w:val="00A04BE4"/>
    <w:rsid w:val="00A0538C"/>
    <w:rsid w:val="00A05795"/>
    <w:rsid w:val="00A05BB6"/>
    <w:rsid w:val="00A0635E"/>
    <w:rsid w:val="00A06AB4"/>
    <w:rsid w:val="00A06B11"/>
    <w:rsid w:val="00A06CAE"/>
    <w:rsid w:val="00A076B8"/>
    <w:rsid w:val="00A07C89"/>
    <w:rsid w:val="00A10016"/>
    <w:rsid w:val="00A1048A"/>
    <w:rsid w:val="00A10AA7"/>
    <w:rsid w:val="00A10DDD"/>
    <w:rsid w:val="00A111B5"/>
    <w:rsid w:val="00A112E1"/>
    <w:rsid w:val="00A11532"/>
    <w:rsid w:val="00A11593"/>
    <w:rsid w:val="00A1182F"/>
    <w:rsid w:val="00A11AA2"/>
    <w:rsid w:val="00A11D7F"/>
    <w:rsid w:val="00A11E2C"/>
    <w:rsid w:val="00A11F64"/>
    <w:rsid w:val="00A120E0"/>
    <w:rsid w:val="00A1216E"/>
    <w:rsid w:val="00A121F8"/>
    <w:rsid w:val="00A12446"/>
    <w:rsid w:val="00A12BEA"/>
    <w:rsid w:val="00A130AD"/>
    <w:rsid w:val="00A13743"/>
    <w:rsid w:val="00A13F08"/>
    <w:rsid w:val="00A13F52"/>
    <w:rsid w:val="00A14378"/>
    <w:rsid w:val="00A144D4"/>
    <w:rsid w:val="00A14E21"/>
    <w:rsid w:val="00A14FC2"/>
    <w:rsid w:val="00A15448"/>
    <w:rsid w:val="00A1580D"/>
    <w:rsid w:val="00A15876"/>
    <w:rsid w:val="00A159C4"/>
    <w:rsid w:val="00A15BE1"/>
    <w:rsid w:val="00A15BF2"/>
    <w:rsid w:val="00A15E82"/>
    <w:rsid w:val="00A16059"/>
    <w:rsid w:val="00A1663A"/>
    <w:rsid w:val="00A16BA3"/>
    <w:rsid w:val="00A16EF2"/>
    <w:rsid w:val="00A16FBE"/>
    <w:rsid w:val="00A171BF"/>
    <w:rsid w:val="00A17B0E"/>
    <w:rsid w:val="00A17D52"/>
    <w:rsid w:val="00A17F4B"/>
    <w:rsid w:val="00A17F7E"/>
    <w:rsid w:val="00A20434"/>
    <w:rsid w:val="00A205DC"/>
    <w:rsid w:val="00A205E6"/>
    <w:rsid w:val="00A20D77"/>
    <w:rsid w:val="00A21024"/>
    <w:rsid w:val="00A21B69"/>
    <w:rsid w:val="00A21D2F"/>
    <w:rsid w:val="00A21D3F"/>
    <w:rsid w:val="00A21F58"/>
    <w:rsid w:val="00A220A4"/>
    <w:rsid w:val="00A221F7"/>
    <w:rsid w:val="00A222E8"/>
    <w:rsid w:val="00A2327D"/>
    <w:rsid w:val="00A2330C"/>
    <w:rsid w:val="00A23736"/>
    <w:rsid w:val="00A23820"/>
    <w:rsid w:val="00A23BA2"/>
    <w:rsid w:val="00A24244"/>
    <w:rsid w:val="00A24659"/>
    <w:rsid w:val="00A24E9B"/>
    <w:rsid w:val="00A24EDC"/>
    <w:rsid w:val="00A25196"/>
    <w:rsid w:val="00A25434"/>
    <w:rsid w:val="00A25977"/>
    <w:rsid w:val="00A25BFA"/>
    <w:rsid w:val="00A264E0"/>
    <w:rsid w:val="00A26542"/>
    <w:rsid w:val="00A26C29"/>
    <w:rsid w:val="00A27164"/>
    <w:rsid w:val="00A2722A"/>
    <w:rsid w:val="00A27434"/>
    <w:rsid w:val="00A27646"/>
    <w:rsid w:val="00A279DA"/>
    <w:rsid w:val="00A27ACB"/>
    <w:rsid w:val="00A27CDD"/>
    <w:rsid w:val="00A304F2"/>
    <w:rsid w:val="00A30535"/>
    <w:rsid w:val="00A30675"/>
    <w:rsid w:val="00A3088A"/>
    <w:rsid w:val="00A308F3"/>
    <w:rsid w:val="00A30AD9"/>
    <w:rsid w:val="00A30FBD"/>
    <w:rsid w:val="00A31296"/>
    <w:rsid w:val="00A317FE"/>
    <w:rsid w:val="00A3222A"/>
    <w:rsid w:val="00A32AD5"/>
    <w:rsid w:val="00A32C53"/>
    <w:rsid w:val="00A33E19"/>
    <w:rsid w:val="00A34143"/>
    <w:rsid w:val="00A34628"/>
    <w:rsid w:val="00A346EB"/>
    <w:rsid w:val="00A354B1"/>
    <w:rsid w:val="00A35873"/>
    <w:rsid w:val="00A35EE0"/>
    <w:rsid w:val="00A36C0C"/>
    <w:rsid w:val="00A36FAA"/>
    <w:rsid w:val="00A3707E"/>
    <w:rsid w:val="00A3725E"/>
    <w:rsid w:val="00A375B5"/>
    <w:rsid w:val="00A37D13"/>
    <w:rsid w:val="00A37D7A"/>
    <w:rsid w:val="00A37DBF"/>
    <w:rsid w:val="00A37DC2"/>
    <w:rsid w:val="00A37DF7"/>
    <w:rsid w:val="00A40485"/>
    <w:rsid w:val="00A40766"/>
    <w:rsid w:val="00A40963"/>
    <w:rsid w:val="00A41B2B"/>
    <w:rsid w:val="00A41E50"/>
    <w:rsid w:val="00A423B4"/>
    <w:rsid w:val="00A42660"/>
    <w:rsid w:val="00A42B04"/>
    <w:rsid w:val="00A42B59"/>
    <w:rsid w:val="00A4318A"/>
    <w:rsid w:val="00A43215"/>
    <w:rsid w:val="00A43766"/>
    <w:rsid w:val="00A438ED"/>
    <w:rsid w:val="00A43CBA"/>
    <w:rsid w:val="00A43CEB"/>
    <w:rsid w:val="00A43ECC"/>
    <w:rsid w:val="00A43EFB"/>
    <w:rsid w:val="00A4418B"/>
    <w:rsid w:val="00A4471C"/>
    <w:rsid w:val="00A44807"/>
    <w:rsid w:val="00A45591"/>
    <w:rsid w:val="00A45961"/>
    <w:rsid w:val="00A45E0F"/>
    <w:rsid w:val="00A463BA"/>
    <w:rsid w:val="00A465F8"/>
    <w:rsid w:val="00A470CA"/>
    <w:rsid w:val="00A47238"/>
    <w:rsid w:val="00A472AD"/>
    <w:rsid w:val="00A47539"/>
    <w:rsid w:val="00A478BC"/>
    <w:rsid w:val="00A479A5"/>
    <w:rsid w:val="00A47A2B"/>
    <w:rsid w:val="00A47F00"/>
    <w:rsid w:val="00A500A4"/>
    <w:rsid w:val="00A50935"/>
    <w:rsid w:val="00A50F4C"/>
    <w:rsid w:val="00A5101B"/>
    <w:rsid w:val="00A5179A"/>
    <w:rsid w:val="00A519DD"/>
    <w:rsid w:val="00A51BF9"/>
    <w:rsid w:val="00A51E8A"/>
    <w:rsid w:val="00A51E9B"/>
    <w:rsid w:val="00A51F8C"/>
    <w:rsid w:val="00A52A87"/>
    <w:rsid w:val="00A52BE9"/>
    <w:rsid w:val="00A52EF9"/>
    <w:rsid w:val="00A52F06"/>
    <w:rsid w:val="00A5349D"/>
    <w:rsid w:val="00A534A4"/>
    <w:rsid w:val="00A53A65"/>
    <w:rsid w:val="00A55222"/>
    <w:rsid w:val="00A554B1"/>
    <w:rsid w:val="00A55785"/>
    <w:rsid w:val="00A557EC"/>
    <w:rsid w:val="00A560C9"/>
    <w:rsid w:val="00A56D5C"/>
    <w:rsid w:val="00A56DA4"/>
    <w:rsid w:val="00A56FAB"/>
    <w:rsid w:val="00A57CCB"/>
    <w:rsid w:val="00A57F47"/>
    <w:rsid w:val="00A6061A"/>
    <w:rsid w:val="00A60652"/>
    <w:rsid w:val="00A60753"/>
    <w:rsid w:val="00A609DC"/>
    <w:rsid w:val="00A6140F"/>
    <w:rsid w:val="00A614A9"/>
    <w:rsid w:val="00A614BA"/>
    <w:rsid w:val="00A61771"/>
    <w:rsid w:val="00A61C1C"/>
    <w:rsid w:val="00A6202D"/>
    <w:rsid w:val="00A621C5"/>
    <w:rsid w:val="00A627DC"/>
    <w:rsid w:val="00A62AFA"/>
    <w:rsid w:val="00A62D7C"/>
    <w:rsid w:val="00A62DC7"/>
    <w:rsid w:val="00A637FD"/>
    <w:rsid w:val="00A639D7"/>
    <w:rsid w:val="00A64742"/>
    <w:rsid w:val="00A6475B"/>
    <w:rsid w:val="00A64ABD"/>
    <w:rsid w:val="00A64AD3"/>
    <w:rsid w:val="00A64C43"/>
    <w:rsid w:val="00A64D33"/>
    <w:rsid w:val="00A64D68"/>
    <w:rsid w:val="00A64EDF"/>
    <w:rsid w:val="00A64F40"/>
    <w:rsid w:val="00A65192"/>
    <w:rsid w:val="00A65228"/>
    <w:rsid w:val="00A6549A"/>
    <w:rsid w:val="00A65709"/>
    <w:rsid w:val="00A6619D"/>
    <w:rsid w:val="00A665B3"/>
    <w:rsid w:val="00A665C8"/>
    <w:rsid w:val="00A66D5A"/>
    <w:rsid w:val="00A66D98"/>
    <w:rsid w:val="00A67664"/>
    <w:rsid w:val="00A6773E"/>
    <w:rsid w:val="00A677B3"/>
    <w:rsid w:val="00A67A2D"/>
    <w:rsid w:val="00A67B86"/>
    <w:rsid w:val="00A67BAB"/>
    <w:rsid w:val="00A67D32"/>
    <w:rsid w:val="00A70257"/>
    <w:rsid w:val="00A717E4"/>
    <w:rsid w:val="00A71986"/>
    <w:rsid w:val="00A725B2"/>
    <w:rsid w:val="00A726C5"/>
    <w:rsid w:val="00A726E9"/>
    <w:rsid w:val="00A728A6"/>
    <w:rsid w:val="00A72AF2"/>
    <w:rsid w:val="00A7370B"/>
    <w:rsid w:val="00A738A5"/>
    <w:rsid w:val="00A73DC8"/>
    <w:rsid w:val="00A744BF"/>
    <w:rsid w:val="00A74B4E"/>
    <w:rsid w:val="00A75230"/>
    <w:rsid w:val="00A756F1"/>
    <w:rsid w:val="00A75BA0"/>
    <w:rsid w:val="00A75CE5"/>
    <w:rsid w:val="00A7604C"/>
    <w:rsid w:val="00A7640D"/>
    <w:rsid w:val="00A7655C"/>
    <w:rsid w:val="00A773AF"/>
    <w:rsid w:val="00A77BF0"/>
    <w:rsid w:val="00A77F93"/>
    <w:rsid w:val="00A80374"/>
    <w:rsid w:val="00A804C5"/>
    <w:rsid w:val="00A80B0A"/>
    <w:rsid w:val="00A80E1B"/>
    <w:rsid w:val="00A81EAF"/>
    <w:rsid w:val="00A8265C"/>
    <w:rsid w:val="00A82DA1"/>
    <w:rsid w:val="00A82F11"/>
    <w:rsid w:val="00A8330B"/>
    <w:rsid w:val="00A83391"/>
    <w:rsid w:val="00A833B5"/>
    <w:rsid w:val="00A8341B"/>
    <w:rsid w:val="00A83932"/>
    <w:rsid w:val="00A83EBD"/>
    <w:rsid w:val="00A846FD"/>
    <w:rsid w:val="00A84E0F"/>
    <w:rsid w:val="00A852D0"/>
    <w:rsid w:val="00A8565D"/>
    <w:rsid w:val="00A85708"/>
    <w:rsid w:val="00A8594B"/>
    <w:rsid w:val="00A8625A"/>
    <w:rsid w:val="00A8681E"/>
    <w:rsid w:val="00A8703F"/>
    <w:rsid w:val="00A879EF"/>
    <w:rsid w:val="00A87D06"/>
    <w:rsid w:val="00A9002B"/>
    <w:rsid w:val="00A90296"/>
    <w:rsid w:val="00A9029A"/>
    <w:rsid w:val="00A904EE"/>
    <w:rsid w:val="00A9071E"/>
    <w:rsid w:val="00A9084C"/>
    <w:rsid w:val="00A9088F"/>
    <w:rsid w:val="00A916D4"/>
    <w:rsid w:val="00A91C11"/>
    <w:rsid w:val="00A91ED6"/>
    <w:rsid w:val="00A91F98"/>
    <w:rsid w:val="00A9209A"/>
    <w:rsid w:val="00A92429"/>
    <w:rsid w:val="00A9243B"/>
    <w:rsid w:val="00A9256B"/>
    <w:rsid w:val="00A92580"/>
    <w:rsid w:val="00A92871"/>
    <w:rsid w:val="00A92D0C"/>
    <w:rsid w:val="00A935FA"/>
    <w:rsid w:val="00A93C5F"/>
    <w:rsid w:val="00A93EA3"/>
    <w:rsid w:val="00A94035"/>
    <w:rsid w:val="00A94680"/>
    <w:rsid w:val="00A95168"/>
    <w:rsid w:val="00A95578"/>
    <w:rsid w:val="00A957A4"/>
    <w:rsid w:val="00A9598B"/>
    <w:rsid w:val="00A95E77"/>
    <w:rsid w:val="00A9624E"/>
    <w:rsid w:val="00A96705"/>
    <w:rsid w:val="00A96735"/>
    <w:rsid w:val="00A96EB8"/>
    <w:rsid w:val="00A9702E"/>
    <w:rsid w:val="00A971CC"/>
    <w:rsid w:val="00A972F3"/>
    <w:rsid w:val="00A978C0"/>
    <w:rsid w:val="00A97F81"/>
    <w:rsid w:val="00AA010D"/>
    <w:rsid w:val="00AA0882"/>
    <w:rsid w:val="00AA0998"/>
    <w:rsid w:val="00AA0B5B"/>
    <w:rsid w:val="00AA0BE5"/>
    <w:rsid w:val="00AA14E0"/>
    <w:rsid w:val="00AA1E1A"/>
    <w:rsid w:val="00AA28DC"/>
    <w:rsid w:val="00AA2C1C"/>
    <w:rsid w:val="00AA3785"/>
    <w:rsid w:val="00AA3F6C"/>
    <w:rsid w:val="00AA405F"/>
    <w:rsid w:val="00AA4BA1"/>
    <w:rsid w:val="00AA4CCB"/>
    <w:rsid w:val="00AA4F0D"/>
    <w:rsid w:val="00AA52A0"/>
    <w:rsid w:val="00AA54EE"/>
    <w:rsid w:val="00AA56FE"/>
    <w:rsid w:val="00AA5952"/>
    <w:rsid w:val="00AA5B53"/>
    <w:rsid w:val="00AA64E7"/>
    <w:rsid w:val="00AA6B6C"/>
    <w:rsid w:val="00AA6E51"/>
    <w:rsid w:val="00AA6EA0"/>
    <w:rsid w:val="00AA6EE4"/>
    <w:rsid w:val="00AA6F52"/>
    <w:rsid w:val="00AA73AC"/>
    <w:rsid w:val="00AA7B08"/>
    <w:rsid w:val="00AB00FB"/>
    <w:rsid w:val="00AB0655"/>
    <w:rsid w:val="00AB0D06"/>
    <w:rsid w:val="00AB1BD3"/>
    <w:rsid w:val="00AB1BFB"/>
    <w:rsid w:val="00AB212A"/>
    <w:rsid w:val="00AB2163"/>
    <w:rsid w:val="00AB21EF"/>
    <w:rsid w:val="00AB231A"/>
    <w:rsid w:val="00AB2351"/>
    <w:rsid w:val="00AB26E8"/>
    <w:rsid w:val="00AB2C48"/>
    <w:rsid w:val="00AB2F28"/>
    <w:rsid w:val="00AB3166"/>
    <w:rsid w:val="00AB3521"/>
    <w:rsid w:val="00AB3903"/>
    <w:rsid w:val="00AB3B31"/>
    <w:rsid w:val="00AB3D33"/>
    <w:rsid w:val="00AB3D6E"/>
    <w:rsid w:val="00AB4070"/>
    <w:rsid w:val="00AB4098"/>
    <w:rsid w:val="00AB40B6"/>
    <w:rsid w:val="00AB4316"/>
    <w:rsid w:val="00AB4490"/>
    <w:rsid w:val="00AB44A6"/>
    <w:rsid w:val="00AB4A04"/>
    <w:rsid w:val="00AB4EA9"/>
    <w:rsid w:val="00AB4F38"/>
    <w:rsid w:val="00AB4FA7"/>
    <w:rsid w:val="00AB5922"/>
    <w:rsid w:val="00AB5A69"/>
    <w:rsid w:val="00AB5ED8"/>
    <w:rsid w:val="00AB6293"/>
    <w:rsid w:val="00AB688A"/>
    <w:rsid w:val="00AB6BE8"/>
    <w:rsid w:val="00AB6CE8"/>
    <w:rsid w:val="00AB702D"/>
    <w:rsid w:val="00AB78D1"/>
    <w:rsid w:val="00AB78F5"/>
    <w:rsid w:val="00AB7AB8"/>
    <w:rsid w:val="00AC0214"/>
    <w:rsid w:val="00AC03A5"/>
    <w:rsid w:val="00AC0F55"/>
    <w:rsid w:val="00AC3861"/>
    <w:rsid w:val="00AC3A6C"/>
    <w:rsid w:val="00AC3B59"/>
    <w:rsid w:val="00AC3D5C"/>
    <w:rsid w:val="00AC487F"/>
    <w:rsid w:val="00AC4D44"/>
    <w:rsid w:val="00AC50D9"/>
    <w:rsid w:val="00AC5133"/>
    <w:rsid w:val="00AC528E"/>
    <w:rsid w:val="00AC5290"/>
    <w:rsid w:val="00AC5361"/>
    <w:rsid w:val="00AC5594"/>
    <w:rsid w:val="00AC6FD9"/>
    <w:rsid w:val="00AC7EA0"/>
    <w:rsid w:val="00AC7FCB"/>
    <w:rsid w:val="00AD0673"/>
    <w:rsid w:val="00AD1360"/>
    <w:rsid w:val="00AD1473"/>
    <w:rsid w:val="00AD1870"/>
    <w:rsid w:val="00AD1E85"/>
    <w:rsid w:val="00AD22D1"/>
    <w:rsid w:val="00AD313B"/>
    <w:rsid w:val="00AD3209"/>
    <w:rsid w:val="00AD37E3"/>
    <w:rsid w:val="00AD3858"/>
    <w:rsid w:val="00AD516E"/>
    <w:rsid w:val="00AD5A6E"/>
    <w:rsid w:val="00AD5BE8"/>
    <w:rsid w:val="00AD67E2"/>
    <w:rsid w:val="00AD68E0"/>
    <w:rsid w:val="00AD6B29"/>
    <w:rsid w:val="00AD6BB8"/>
    <w:rsid w:val="00AD6D3F"/>
    <w:rsid w:val="00AD7886"/>
    <w:rsid w:val="00AD792F"/>
    <w:rsid w:val="00AD7A64"/>
    <w:rsid w:val="00AE0344"/>
    <w:rsid w:val="00AE04DB"/>
    <w:rsid w:val="00AE0704"/>
    <w:rsid w:val="00AE0948"/>
    <w:rsid w:val="00AE0BA8"/>
    <w:rsid w:val="00AE17F3"/>
    <w:rsid w:val="00AE232F"/>
    <w:rsid w:val="00AE2A0D"/>
    <w:rsid w:val="00AE2DCC"/>
    <w:rsid w:val="00AE33C9"/>
    <w:rsid w:val="00AE33F0"/>
    <w:rsid w:val="00AE358C"/>
    <w:rsid w:val="00AE3BDC"/>
    <w:rsid w:val="00AE3CAC"/>
    <w:rsid w:val="00AE3F6F"/>
    <w:rsid w:val="00AE4810"/>
    <w:rsid w:val="00AE50E5"/>
    <w:rsid w:val="00AE53BB"/>
    <w:rsid w:val="00AE662E"/>
    <w:rsid w:val="00AE669F"/>
    <w:rsid w:val="00AE734B"/>
    <w:rsid w:val="00AE7749"/>
    <w:rsid w:val="00AE7BBA"/>
    <w:rsid w:val="00AE7F2B"/>
    <w:rsid w:val="00AF007F"/>
    <w:rsid w:val="00AF0426"/>
    <w:rsid w:val="00AF0475"/>
    <w:rsid w:val="00AF0845"/>
    <w:rsid w:val="00AF1460"/>
    <w:rsid w:val="00AF1B7A"/>
    <w:rsid w:val="00AF1D5B"/>
    <w:rsid w:val="00AF1F09"/>
    <w:rsid w:val="00AF2285"/>
    <w:rsid w:val="00AF24EC"/>
    <w:rsid w:val="00AF262A"/>
    <w:rsid w:val="00AF26C6"/>
    <w:rsid w:val="00AF30A9"/>
    <w:rsid w:val="00AF32B8"/>
    <w:rsid w:val="00AF368E"/>
    <w:rsid w:val="00AF3738"/>
    <w:rsid w:val="00AF3BF2"/>
    <w:rsid w:val="00AF3DD4"/>
    <w:rsid w:val="00AF3E0B"/>
    <w:rsid w:val="00AF3E0C"/>
    <w:rsid w:val="00AF41F8"/>
    <w:rsid w:val="00AF4377"/>
    <w:rsid w:val="00AF46FC"/>
    <w:rsid w:val="00AF494A"/>
    <w:rsid w:val="00AF5331"/>
    <w:rsid w:val="00AF5986"/>
    <w:rsid w:val="00AF5D32"/>
    <w:rsid w:val="00AF69DC"/>
    <w:rsid w:val="00AF6E17"/>
    <w:rsid w:val="00AF710F"/>
    <w:rsid w:val="00AF7283"/>
    <w:rsid w:val="00AF7CD0"/>
    <w:rsid w:val="00B00186"/>
    <w:rsid w:val="00B003C6"/>
    <w:rsid w:val="00B006F3"/>
    <w:rsid w:val="00B009B0"/>
    <w:rsid w:val="00B01143"/>
    <w:rsid w:val="00B01587"/>
    <w:rsid w:val="00B0173B"/>
    <w:rsid w:val="00B019E0"/>
    <w:rsid w:val="00B01C59"/>
    <w:rsid w:val="00B01C83"/>
    <w:rsid w:val="00B01D72"/>
    <w:rsid w:val="00B0232E"/>
    <w:rsid w:val="00B0233A"/>
    <w:rsid w:val="00B02432"/>
    <w:rsid w:val="00B02E32"/>
    <w:rsid w:val="00B0327D"/>
    <w:rsid w:val="00B032B8"/>
    <w:rsid w:val="00B03332"/>
    <w:rsid w:val="00B039E8"/>
    <w:rsid w:val="00B03A4A"/>
    <w:rsid w:val="00B046B3"/>
    <w:rsid w:val="00B04EAE"/>
    <w:rsid w:val="00B0504E"/>
    <w:rsid w:val="00B0520D"/>
    <w:rsid w:val="00B05342"/>
    <w:rsid w:val="00B0567A"/>
    <w:rsid w:val="00B05A14"/>
    <w:rsid w:val="00B05B0D"/>
    <w:rsid w:val="00B06442"/>
    <w:rsid w:val="00B06661"/>
    <w:rsid w:val="00B06AEC"/>
    <w:rsid w:val="00B06E10"/>
    <w:rsid w:val="00B074AF"/>
    <w:rsid w:val="00B07D77"/>
    <w:rsid w:val="00B100C2"/>
    <w:rsid w:val="00B1055C"/>
    <w:rsid w:val="00B10AEE"/>
    <w:rsid w:val="00B10D56"/>
    <w:rsid w:val="00B10EE6"/>
    <w:rsid w:val="00B11658"/>
    <w:rsid w:val="00B11935"/>
    <w:rsid w:val="00B11A0D"/>
    <w:rsid w:val="00B11CA5"/>
    <w:rsid w:val="00B11EF7"/>
    <w:rsid w:val="00B12485"/>
    <w:rsid w:val="00B124D4"/>
    <w:rsid w:val="00B12D70"/>
    <w:rsid w:val="00B13A00"/>
    <w:rsid w:val="00B13E97"/>
    <w:rsid w:val="00B14233"/>
    <w:rsid w:val="00B1452E"/>
    <w:rsid w:val="00B145DD"/>
    <w:rsid w:val="00B14627"/>
    <w:rsid w:val="00B14699"/>
    <w:rsid w:val="00B1476E"/>
    <w:rsid w:val="00B14CB8"/>
    <w:rsid w:val="00B14F36"/>
    <w:rsid w:val="00B151FA"/>
    <w:rsid w:val="00B152E0"/>
    <w:rsid w:val="00B154F5"/>
    <w:rsid w:val="00B15941"/>
    <w:rsid w:val="00B159E3"/>
    <w:rsid w:val="00B15FC5"/>
    <w:rsid w:val="00B166DF"/>
    <w:rsid w:val="00B16929"/>
    <w:rsid w:val="00B170E6"/>
    <w:rsid w:val="00B1723A"/>
    <w:rsid w:val="00B17A1D"/>
    <w:rsid w:val="00B200A0"/>
    <w:rsid w:val="00B2020D"/>
    <w:rsid w:val="00B2083F"/>
    <w:rsid w:val="00B20B29"/>
    <w:rsid w:val="00B20B47"/>
    <w:rsid w:val="00B20E90"/>
    <w:rsid w:val="00B21188"/>
    <w:rsid w:val="00B21214"/>
    <w:rsid w:val="00B21365"/>
    <w:rsid w:val="00B2196B"/>
    <w:rsid w:val="00B21CF6"/>
    <w:rsid w:val="00B22461"/>
    <w:rsid w:val="00B224F2"/>
    <w:rsid w:val="00B2273F"/>
    <w:rsid w:val="00B22CF1"/>
    <w:rsid w:val="00B232B0"/>
    <w:rsid w:val="00B2336C"/>
    <w:rsid w:val="00B23480"/>
    <w:rsid w:val="00B23744"/>
    <w:rsid w:val="00B2388F"/>
    <w:rsid w:val="00B239D9"/>
    <w:rsid w:val="00B23AF3"/>
    <w:rsid w:val="00B23CBE"/>
    <w:rsid w:val="00B2449E"/>
    <w:rsid w:val="00B244C6"/>
    <w:rsid w:val="00B245F5"/>
    <w:rsid w:val="00B24A56"/>
    <w:rsid w:val="00B24DF1"/>
    <w:rsid w:val="00B24FD9"/>
    <w:rsid w:val="00B25016"/>
    <w:rsid w:val="00B2539F"/>
    <w:rsid w:val="00B255C1"/>
    <w:rsid w:val="00B2599C"/>
    <w:rsid w:val="00B25A95"/>
    <w:rsid w:val="00B25B25"/>
    <w:rsid w:val="00B25D36"/>
    <w:rsid w:val="00B25DD0"/>
    <w:rsid w:val="00B2646D"/>
    <w:rsid w:val="00B264BA"/>
    <w:rsid w:val="00B268EF"/>
    <w:rsid w:val="00B27192"/>
    <w:rsid w:val="00B27329"/>
    <w:rsid w:val="00B27411"/>
    <w:rsid w:val="00B27A25"/>
    <w:rsid w:val="00B3077F"/>
    <w:rsid w:val="00B307FA"/>
    <w:rsid w:val="00B30A52"/>
    <w:rsid w:val="00B30B54"/>
    <w:rsid w:val="00B30E0B"/>
    <w:rsid w:val="00B31104"/>
    <w:rsid w:val="00B312F0"/>
    <w:rsid w:val="00B31806"/>
    <w:rsid w:val="00B31BAF"/>
    <w:rsid w:val="00B31FF9"/>
    <w:rsid w:val="00B320B7"/>
    <w:rsid w:val="00B32398"/>
    <w:rsid w:val="00B324FD"/>
    <w:rsid w:val="00B327AD"/>
    <w:rsid w:val="00B32E22"/>
    <w:rsid w:val="00B335F2"/>
    <w:rsid w:val="00B338C7"/>
    <w:rsid w:val="00B33B09"/>
    <w:rsid w:val="00B33CD1"/>
    <w:rsid w:val="00B34204"/>
    <w:rsid w:val="00B34365"/>
    <w:rsid w:val="00B345BE"/>
    <w:rsid w:val="00B353A3"/>
    <w:rsid w:val="00B35CE1"/>
    <w:rsid w:val="00B35D8A"/>
    <w:rsid w:val="00B35E2E"/>
    <w:rsid w:val="00B36008"/>
    <w:rsid w:val="00B363E2"/>
    <w:rsid w:val="00B36DF2"/>
    <w:rsid w:val="00B36E26"/>
    <w:rsid w:val="00B36E47"/>
    <w:rsid w:val="00B375B2"/>
    <w:rsid w:val="00B376B5"/>
    <w:rsid w:val="00B3778E"/>
    <w:rsid w:val="00B377FD"/>
    <w:rsid w:val="00B37885"/>
    <w:rsid w:val="00B37B48"/>
    <w:rsid w:val="00B37C1F"/>
    <w:rsid w:val="00B37C58"/>
    <w:rsid w:val="00B40205"/>
    <w:rsid w:val="00B40E49"/>
    <w:rsid w:val="00B410C8"/>
    <w:rsid w:val="00B41534"/>
    <w:rsid w:val="00B41633"/>
    <w:rsid w:val="00B41B8E"/>
    <w:rsid w:val="00B41BAD"/>
    <w:rsid w:val="00B41E5F"/>
    <w:rsid w:val="00B41F32"/>
    <w:rsid w:val="00B43099"/>
    <w:rsid w:val="00B4332A"/>
    <w:rsid w:val="00B433A9"/>
    <w:rsid w:val="00B43E45"/>
    <w:rsid w:val="00B44047"/>
    <w:rsid w:val="00B44409"/>
    <w:rsid w:val="00B44467"/>
    <w:rsid w:val="00B4523F"/>
    <w:rsid w:val="00B454EC"/>
    <w:rsid w:val="00B45556"/>
    <w:rsid w:val="00B468C0"/>
    <w:rsid w:val="00B46A10"/>
    <w:rsid w:val="00B46B21"/>
    <w:rsid w:val="00B47146"/>
    <w:rsid w:val="00B473B5"/>
    <w:rsid w:val="00B47566"/>
    <w:rsid w:val="00B477D0"/>
    <w:rsid w:val="00B47833"/>
    <w:rsid w:val="00B47985"/>
    <w:rsid w:val="00B47D4E"/>
    <w:rsid w:val="00B47D8E"/>
    <w:rsid w:val="00B5088B"/>
    <w:rsid w:val="00B50918"/>
    <w:rsid w:val="00B513EF"/>
    <w:rsid w:val="00B51782"/>
    <w:rsid w:val="00B51BF5"/>
    <w:rsid w:val="00B5225B"/>
    <w:rsid w:val="00B522C5"/>
    <w:rsid w:val="00B52650"/>
    <w:rsid w:val="00B52DBD"/>
    <w:rsid w:val="00B53277"/>
    <w:rsid w:val="00B535B2"/>
    <w:rsid w:val="00B53A3C"/>
    <w:rsid w:val="00B53A40"/>
    <w:rsid w:val="00B53AC0"/>
    <w:rsid w:val="00B53C14"/>
    <w:rsid w:val="00B53CF3"/>
    <w:rsid w:val="00B53DE6"/>
    <w:rsid w:val="00B54225"/>
    <w:rsid w:val="00B54391"/>
    <w:rsid w:val="00B54833"/>
    <w:rsid w:val="00B54A7A"/>
    <w:rsid w:val="00B54B1C"/>
    <w:rsid w:val="00B5537A"/>
    <w:rsid w:val="00B5571B"/>
    <w:rsid w:val="00B55B3E"/>
    <w:rsid w:val="00B55C58"/>
    <w:rsid w:val="00B55FB5"/>
    <w:rsid w:val="00B56549"/>
    <w:rsid w:val="00B56C5C"/>
    <w:rsid w:val="00B56D6F"/>
    <w:rsid w:val="00B57041"/>
    <w:rsid w:val="00B57412"/>
    <w:rsid w:val="00B57530"/>
    <w:rsid w:val="00B57546"/>
    <w:rsid w:val="00B57697"/>
    <w:rsid w:val="00B57724"/>
    <w:rsid w:val="00B57AB0"/>
    <w:rsid w:val="00B604C8"/>
    <w:rsid w:val="00B60965"/>
    <w:rsid w:val="00B60F61"/>
    <w:rsid w:val="00B6140B"/>
    <w:rsid w:val="00B61BDE"/>
    <w:rsid w:val="00B61EBC"/>
    <w:rsid w:val="00B61FC7"/>
    <w:rsid w:val="00B622C3"/>
    <w:rsid w:val="00B626EB"/>
    <w:rsid w:val="00B6298A"/>
    <w:rsid w:val="00B62BDD"/>
    <w:rsid w:val="00B62D5A"/>
    <w:rsid w:val="00B6310D"/>
    <w:rsid w:val="00B63268"/>
    <w:rsid w:val="00B636F0"/>
    <w:rsid w:val="00B63C84"/>
    <w:rsid w:val="00B63CA3"/>
    <w:rsid w:val="00B63E29"/>
    <w:rsid w:val="00B64495"/>
    <w:rsid w:val="00B64A4F"/>
    <w:rsid w:val="00B64D2B"/>
    <w:rsid w:val="00B64F6A"/>
    <w:rsid w:val="00B64F79"/>
    <w:rsid w:val="00B65221"/>
    <w:rsid w:val="00B65669"/>
    <w:rsid w:val="00B6598A"/>
    <w:rsid w:val="00B659B6"/>
    <w:rsid w:val="00B65BFA"/>
    <w:rsid w:val="00B660EF"/>
    <w:rsid w:val="00B6641E"/>
    <w:rsid w:val="00B66496"/>
    <w:rsid w:val="00B664E2"/>
    <w:rsid w:val="00B667F2"/>
    <w:rsid w:val="00B66EEB"/>
    <w:rsid w:val="00B67411"/>
    <w:rsid w:val="00B675BD"/>
    <w:rsid w:val="00B678D4"/>
    <w:rsid w:val="00B67AFF"/>
    <w:rsid w:val="00B67DF1"/>
    <w:rsid w:val="00B67E31"/>
    <w:rsid w:val="00B67ED9"/>
    <w:rsid w:val="00B70291"/>
    <w:rsid w:val="00B70BFE"/>
    <w:rsid w:val="00B70D31"/>
    <w:rsid w:val="00B7101D"/>
    <w:rsid w:val="00B711AC"/>
    <w:rsid w:val="00B7131B"/>
    <w:rsid w:val="00B71553"/>
    <w:rsid w:val="00B718A7"/>
    <w:rsid w:val="00B71AC0"/>
    <w:rsid w:val="00B71F2A"/>
    <w:rsid w:val="00B7212F"/>
    <w:rsid w:val="00B721A7"/>
    <w:rsid w:val="00B72333"/>
    <w:rsid w:val="00B723F0"/>
    <w:rsid w:val="00B72648"/>
    <w:rsid w:val="00B72B75"/>
    <w:rsid w:val="00B7340E"/>
    <w:rsid w:val="00B739F4"/>
    <w:rsid w:val="00B7413C"/>
    <w:rsid w:val="00B7416E"/>
    <w:rsid w:val="00B748B0"/>
    <w:rsid w:val="00B74A03"/>
    <w:rsid w:val="00B74A67"/>
    <w:rsid w:val="00B752A7"/>
    <w:rsid w:val="00B752C3"/>
    <w:rsid w:val="00B7556A"/>
    <w:rsid w:val="00B755DD"/>
    <w:rsid w:val="00B763EE"/>
    <w:rsid w:val="00B7676E"/>
    <w:rsid w:val="00B76774"/>
    <w:rsid w:val="00B767CC"/>
    <w:rsid w:val="00B76B7A"/>
    <w:rsid w:val="00B770A0"/>
    <w:rsid w:val="00B7715C"/>
    <w:rsid w:val="00B77264"/>
    <w:rsid w:val="00B7737B"/>
    <w:rsid w:val="00B775BA"/>
    <w:rsid w:val="00B775EE"/>
    <w:rsid w:val="00B779F1"/>
    <w:rsid w:val="00B77CA5"/>
    <w:rsid w:val="00B77D70"/>
    <w:rsid w:val="00B77DF7"/>
    <w:rsid w:val="00B77F51"/>
    <w:rsid w:val="00B8014E"/>
    <w:rsid w:val="00B802AB"/>
    <w:rsid w:val="00B8035B"/>
    <w:rsid w:val="00B80361"/>
    <w:rsid w:val="00B803F0"/>
    <w:rsid w:val="00B80635"/>
    <w:rsid w:val="00B80E63"/>
    <w:rsid w:val="00B80F6E"/>
    <w:rsid w:val="00B815B3"/>
    <w:rsid w:val="00B8166A"/>
    <w:rsid w:val="00B81794"/>
    <w:rsid w:val="00B81AA4"/>
    <w:rsid w:val="00B81FE7"/>
    <w:rsid w:val="00B82086"/>
    <w:rsid w:val="00B821EE"/>
    <w:rsid w:val="00B82978"/>
    <w:rsid w:val="00B83077"/>
    <w:rsid w:val="00B834B5"/>
    <w:rsid w:val="00B8380A"/>
    <w:rsid w:val="00B839C6"/>
    <w:rsid w:val="00B83B38"/>
    <w:rsid w:val="00B83E91"/>
    <w:rsid w:val="00B83F3D"/>
    <w:rsid w:val="00B8428F"/>
    <w:rsid w:val="00B84B5B"/>
    <w:rsid w:val="00B84D28"/>
    <w:rsid w:val="00B84DD1"/>
    <w:rsid w:val="00B84F96"/>
    <w:rsid w:val="00B85386"/>
    <w:rsid w:val="00B8562B"/>
    <w:rsid w:val="00B8597C"/>
    <w:rsid w:val="00B85A80"/>
    <w:rsid w:val="00B85F00"/>
    <w:rsid w:val="00B861B7"/>
    <w:rsid w:val="00B862F1"/>
    <w:rsid w:val="00B86D3A"/>
    <w:rsid w:val="00B87296"/>
    <w:rsid w:val="00B87F8D"/>
    <w:rsid w:val="00B90C16"/>
    <w:rsid w:val="00B90F43"/>
    <w:rsid w:val="00B915AC"/>
    <w:rsid w:val="00B916D7"/>
    <w:rsid w:val="00B91838"/>
    <w:rsid w:val="00B9203E"/>
    <w:rsid w:val="00B92084"/>
    <w:rsid w:val="00B92310"/>
    <w:rsid w:val="00B92600"/>
    <w:rsid w:val="00B927AD"/>
    <w:rsid w:val="00B92F5B"/>
    <w:rsid w:val="00B92F7D"/>
    <w:rsid w:val="00B93486"/>
    <w:rsid w:val="00B93962"/>
    <w:rsid w:val="00B9477C"/>
    <w:rsid w:val="00B9488A"/>
    <w:rsid w:val="00B95242"/>
    <w:rsid w:val="00B9524F"/>
    <w:rsid w:val="00B9538F"/>
    <w:rsid w:val="00B957AC"/>
    <w:rsid w:val="00B95B93"/>
    <w:rsid w:val="00B95F28"/>
    <w:rsid w:val="00B9711F"/>
    <w:rsid w:val="00B977D0"/>
    <w:rsid w:val="00B97969"/>
    <w:rsid w:val="00B97BFC"/>
    <w:rsid w:val="00BA02BA"/>
    <w:rsid w:val="00BA0B91"/>
    <w:rsid w:val="00BA0E51"/>
    <w:rsid w:val="00BA102E"/>
    <w:rsid w:val="00BA14F4"/>
    <w:rsid w:val="00BA1571"/>
    <w:rsid w:val="00BA166F"/>
    <w:rsid w:val="00BA178A"/>
    <w:rsid w:val="00BA1A0D"/>
    <w:rsid w:val="00BA1C27"/>
    <w:rsid w:val="00BA1FF3"/>
    <w:rsid w:val="00BA264E"/>
    <w:rsid w:val="00BA2741"/>
    <w:rsid w:val="00BA298B"/>
    <w:rsid w:val="00BA2C6D"/>
    <w:rsid w:val="00BA344B"/>
    <w:rsid w:val="00BA35B4"/>
    <w:rsid w:val="00BA3A6C"/>
    <w:rsid w:val="00BA422F"/>
    <w:rsid w:val="00BA4996"/>
    <w:rsid w:val="00BA4AF2"/>
    <w:rsid w:val="00BA4B19"/>
    <w:rsid w:val="00BA568B"/>
    <w:rsid w:val="00BA5994"/>
    <w:rsid w:val="00BA5F9C"/>
    <w:rsid w:val="00BA642E"/>
    <w:rsid w:val="00BA6DBF"/>
    <w:rsid w:val="00BA6F94"/>
    <w:rsid w:val="00BA7293"/>
    <w:rsid w:val="00BA7965"/>
    <w:rsid w:val="00BA79F1"/>
    <w:rsid w:val="00BB00B2"/>
    <w:rsid w:val="00BB038C"/>
    <w:rsid w:val="00BB0583"/>
    <w:rsid w:val="00BB0799"/>
    <w:rsid w:val="00BB0A93"/>
    <w:rsid w:val="00BB2063"/>
    <w:rsid w:val="00BB226D"/>
    <w:rsid w:val="00BB2270"/>
    <w:rsid w:val="00BB22D1"/>
    <w:rsid w:val="00BB29F7"/>
    <w:rsid w:val="00BB2CDC"/>
    <w:rsid w:val="00BB2D70"/>
    <w:rsid w:val="00BB2EFE"/>
    <w:rsid w:val="00BB3126"/>
    <w:rsid w:val="00BB34F0"/>
    <w:rsid w:val="00BB368C"/>
    <w:rsid w:val="00BB36A7"/>
    <w:rsid w:val="00BB4A9D"/>
    <w:rsid w:val="00BB4B16"/>
    <w:rsid w:val="00BB4B80"/>
    <w:rsid w:val="00BB4C7E"/>
    <w:rsid w:val="00BB524F"/>
    <w:rsid w:val="00BB5B7A"/>
    <w:rsid w:val="00BB5CB0"/>
    <w:rsid w:val="00BB6020"/>
    <w:rsid w:val="00BB66C8"/>
    <w:rsid w:val="00BB66E8"/>
    <w:rsid w:val="00BB69B8"/>
    <w:rsid w:val="00BB6E9C"/>
    <w:rsid w:val="00BB711C"/>
    <w:rsid w:val="00BB74C4"/>
    <w:rsid w:val="00BB7942"/>
    <w:rsid w:val="00BB7D5F"/>
    <w:rsid w:val="00BB7E17"/>
    <w:rsid w:val="00BC0606"/>
    <w:rsid w:val="00BC0945"/>
    <w:rsid w:val="00BC100B"/>
    <w:rsid w:val="00BC11DE"/>
    <w:rsid w:val="00BC18BE"/>
    <w:rsid w:val="00BC194F"/>
    <w:rsid w:val="00BC1E1F"/>
    <w:rsid w:val="00BC1E6E"/>
    <w:rsid w:val="00BC26AB"/>
    <w:rsid w:val="00BC2827"/>
    <w:rsid w:val="00BC2994"/>
    <w:rsid w:val="00BC2B97"/>
    <w:rsid w:val="00BC2E82"/>
    <w:rsid w:val="00BC2EA2"/>
    <w:rsid w:val="00BC311F"/>
    <w:rsid w:val="00BC3B4B"/>
    <w:rsid w:val="00BC3BAD"/>
    <w:rsid w:val="00BC3DF3"/>
    <w:rsid w:val="00BC4072"/>
    <w:rsid w:val="00BC41E8"/>
    <w:rsid w:val="00BC4620"/>
    <w:rsid w:val="00BC4676"/>
    <w:rsid w:val="00BC4783"/>
    <w:rsid w:val="00BC47D9"/>
    <w:rsid w:val="00BC4A20"/>
    <w:rsid w:val="00BC55E5"/>
    <w:rsid w:val="00BC56B0"/>
    <w:rsid w:val="00BC575F"/>
    <w:rsid w:val="00BC597A"/>
    <w:rsid w:val="00BC59AB"/>
    <w:rsid w:val="00BC6BD3"/>
    <w:rsid w:val="00BC6F59"/>
    <w:rsid w:val="00BC6FC3"/>
    <w:rsid w:val="00BC7B1B"/>
    <w:rsid w:val="00BC7D83"/>
    <w:rsid w:val="00BD04B0"/>
    <w:rsid w:val="00BD0F01"/>
    <w:rsid w:val="00BD10D8"/>
    <w:rsid w:val="00BD13DB"/>
    <w:rsid w:val="00BD2792"/>
    <w:rsid w:val="00BD2798"/>
    <w:rsid w:val="00BD2BF6"/>
    <w:rsid w:val="00BD2F9F"/>
    <w:rsid w:val="00BD328B"/>
    <w:rsid w:val="00BD3C3C"/>
    <w:rsid w:val="00BD3F47"/>
    <w:rsid w:val="00BD410E"/>
    <w:rsid w:val="00BD44BD"/>
    <w:rsid w:val="00BD4993"/>
    <w:rsid w:val="00BD4EB4"/>
    <w:rsid w:val="00BD5192"/>
    <w:rsid w:val="00BD549E"/>
    <w:rsid w:val="00BD565F"/>
    <w:rsid w:val="00BD56F2"/>
    <w:rsid w:val="00BD58A4"/>
    <w:rsid w:val="00BD5F10"/>
    <w:rsid w:val="00BD61BC"/>
    <w:rsid w:val="00BD61E8"/>
    <w:rsid w:val="00BD62A8"/>
    <w:rsid w:val="00BD661A"/>
    <w:rsid w:val="00BD6667"/>
    <w:rsid w:val="00BD6B5E"/>
    <w:rsid w:val="00BD6BEB"/>
    <w:rsid w:val="00BD77B1"/>
    <w:rsid w:val="00BD7BC7"/>
    <w:rsid w:val="00BD7C86"/>
    <w:rsid w:val="00BD7CE6"/>
    <w:rsid w:val="00BD7FD3"/>
    <w:rsid w:val="00BE0865"/>
    <w:rsid w:val="00BE09B5"/>
    <w:rsid w:val="00BE0A7B"/>
    <w:rsid w:val="00BE0E74"/>
    <w:rsid w:val="00BE1501"/>
    <w:rsid w:val="00BE213C"/>
    <w:rsid w:val="00BE21A2"/>
    <w:rsid w:val="00BE22B9"/>
    <w:rsid w:val="00BE2512"/>
    <w:rsid w:val="00BE3211"/>
    <w:rsid w:val="00BE3358"/>
    <w:rsid w:val="00BE33FE"/>
    <w:rsid w:val="00BE3DBF"/>
    <w:rsid w:val="00BE3FE6"/>
    <w:rsid w:val="00BE456B"/>
    <w:rsid w:val="00BE49B3"/>
    <w:rsid w:val="00BE4C04"/>
    <w:rsid w:val="00BE4D77"/>
    <w:rsid w:val="00BE4D94"/>
    <w:rsid w:val="00BE4F1E"/>
    <w:rsid w:val="00BE51BD"/>
    <w:rsid w:val="00BE5293"/>
    <w:rsid w:val="00BE5468"/>
    <w:rsid w:val="00BE55B0"/>
    <w:rsid w:val="00BE5896"/>
    <w:rsid w:val="00BE5982"/>
    <w:rsid w:val="00BE5ABD"/>
    <w:rsid w:val="00BE5E58"/>
    <w:rsid w:val="00BE5E7F"/>
    <w:rsid w:val="00BE5F1B"/>
    <w:rsid w:val="00BE5F6A"/>
    <w:rsid w:val="00BE66E7"/>
    <w:rsid w:val="00BE6A6C"/>
    <w:rsid w:val="00BE6A81"/>
    <w:rsid w:val="00BE6C18"/>
    <w:rsid w:val="00BE72CA"/>
    <w:rsid w:val="00BE732A"/>
    <w:rsid w:val="00BE7D94"/>
    <w:rsid w:val="00BE7F51"/>
    <w:rsid w:val="00BF086F"/>
    <w:rsid w:val="00BF09E1"/>
    <w:rsid w:val="00BF0FBA"/>
    <w:rsid w:val="00BF15C8"/>
    <w:rsid w:val="00BF1DE7"/>
    <w:rsid w:val="00BF2A72"/>
    <w:rsid w:val="00BF30CF"/>
    <w:rsid w:val="00BF30D4"/>
    <w:rsid w:val="00BF3187"/>
    <w:rsid w:val="00BF3399"/>
    <w:rsid w:val="00BF3450"/>
    <w:rsid w:val="00BF3868"/>
    <w:rsid w:val="00BF417C"/>
    <w:rsid w:val="00BF4572"/>
    <w:rsid w:val="00BF4BE7"/>
    <w:rsid w:val="00BF4F36"/>
    <w:rsid w:val="00BF5676"/>
    <w:rsid w:val="00BF5816"/>
    <w:rsid w:val="00BF5E70"/>
    <w:rsid w:val="00BF6052"/>
    <w:rsid w:val="00BF61BE"/>
    <w:rsid w:val="00BF626E"/>
    <w:rsid w:val="00BF683D"/>
    <w:rsid w:val="00BF74E8"/>
    <w:rsid w:val="00BF7720"/>
    <w:rsid w:val="00BF7DC1"/>
    <w:rsid w:val="00C001FB"/>
    <w:rsid w:val="00C002AE"/>
    <w:rsid w:val="00C00989"/>
    <w:rsid w:val="00C00991"/>
    <w:rsid w:val="00C00A58"/>
    <w:rsid w:val="00C00E8C"/>
    <w:rsid w:val="00C01454"/>
    <w:rsid w:val="00C02015"/>
    <w:rsid w:val="00C02B59"/>
    <w:rsid w:val="00C031C1"/>
    <w:rsid w:val="00C031E6"/>
    <w:rsid w:val="00C0370E"/>
    <w:rsid w:val="00C03FD8"/>
    <w:rsid w:val="00C04233"/>
    <w:rsid w:val="00C043AE"/>
    <w:rsid w:val="00C0578B"/>
    <w:rsid w:val="00C05836"/>
    <w:rsid w:val="00C05A6E"/>
    <w:rsid w:val="00C05E1B"/>
    <w:rsid w:val="00C0681A"/>
    <w:rsid w:val="00C068BA"/>
    <w:rsid w:val="00C06D31"/>
    <w:rsid w:val="00C07538"/>
    <w:rsid w:val="00C07B60"/>
    <w:rsid w:val="00C07C32"/>
    <w:rsid w:val="00C10A24"/>
    <w:rsid w:val="00C10B5F"/>
    <w:rsid w:val="00C10B62"/>
    <w:rsid w:val="00C10E69"/>
    <w:rsid w:val="00C110C1"/>
    <w:rsid w:val="00C1177F"/>
    <w:rsid w:val="00C117D5"/>
    <w:rsid w:val="00C117DE"/>
    <w:rsid w:val="00C11B05"/>
    <w:rsid w:val="00C11DB6"/>
    <w:rsid w:val="00C12818"/>
    <w:rsid w:val="00C12BFE"/>
    <w:rsid w:val="00C12D19"/>
    <w:rsid w:val="00C12F57"/>
    <w:rsid w:val="00C13376"/>
    <w:rsid w:val="00C1414A"/>
    <w:rsid w:val="00C143F7"/>
    <w:rsid w:val="00C144D0"/>
    <w:rsid w:val="00C14B70"/>
    <w:rsid w:val="00C15495"/>
    <w:rsid w:val="00C166F8"/>
    <w:rsid w:val="00C16932"/>
    <w:rsid w:val="00C16A13"/>
    <w:rsid w:val="00C17452"/>
    <w:rsid w:val="00C1776A"/>
    <w:rsid w:val="00C17A74"/>
    <w:rsid w:val="00C17DF7"/>
    <w:rsid w:val="00C2010A"/>
    <w:rsid w:val="00C20BAA"/>
    <w:rsid w:val="00C21430"/>
    <w:rsid w:val="00C21643"/>
    <w:rsid w:val="00C21778"/>
    <w:rsid w:val="00C217D2"/>
    <w:rsid w:val="00C21945"/>
    <w:rsid w:val="00C2199F"/>
    <w:rsid w:val="00C224E0"/>
    <w:rsid w:val="00C22943"/>
    <w:rsid w:val="00C229DB"/>
    <w:rsid w:val="00C22C48"/>
    <w:rsid w:val="00C22D76"/>
    <w:rsid w:val="00C231CE"/>
    <w:rsid w:val="00C236E3"/>
    <w:rsid w:val="00C23FAB"/>
    <w:rsid w:val="00C24068"/>
    <w:rsid w:val="00C24280"/>
    <w:rsid w:val="00C24995"/>
    <w:rsid w:val="00C24D30"/>
    <w:rsid w:val="00C24D8F"/>
    <w:rsid w:val="00C2523A"/>
    <w:rsid w:val="00C25304"/>
    <w:rsid w:val="00C254D7"/>
    <w:rsid w:val="00C2572A"/>
    <w:rsid w:val="00C259E0"/>
    <w:rsid w:val="00C25D18"/>
    <w:rsid w:val="00C266A4"/>
    <w:rsid w:val="00C272F1"/>
    <w:rsid w:val="00C273CA"/>
    <w:rsid w:val="00C27E5F"/>
    <w:rsid w:val="00C30412"/>
    <w:rsid w:val="00C3050F"/>
    <w:rsid w:val="00C30648"/>
    <w:rsid w:val="00C3088C"/>
    <w:rsid w:val="00C316C2"/>
    <w:rsid w:val="00C318B4"/>
    <w:rsid w:val="00C32386"/>
    <w:rsid w:val="00C323A8"/>
    <w:rsid w:val="00C32791"/>
    <w:rsid w:val="00C32809"/>
    <w:rsid w:val="00C32CF1"/>
    <w:rsid w:val="00C32F10"/>
    <w:rsid w:val="00C32F5F"/>
    <w:rsid w:val="00C33049"/>
    <w:rsid w:val="00C3348A"/>
    <w:rsid w:val="00C33D44"/>
    <w:rsid w:val="00C34195"/>
    <w:rsid w:val="00C34824"/>
    <w:rsid w:val="00C3496E"/>
    <w:rsid w:val="00C34D84"/>
    <w:rsid w:val="00C34EE9"/>
    <w:rsid w:val="00C352C4"/>
    <w:rsid w:val="00C35548"/>
    <w:rsid w:val="00C35907"/>
    <w:rsid w:val="00C359E8"/>
    <w:rsid w:val="00C35BEA"/>
    <w:rsid w:val="00C364C5"/>
    <w:rsid w:val="00C36B68"/>
    <w:rsid w:val="00C36CDB"/>
    <w:rsid w:val="00C36D80"/>
    <w:rsid w:val="00C375C3"/>
    <w:rsid w:val="00C376FF"/>
    <w:rsid w:val="00C378F7"/>
    <w:rsid w:val="00C37EC5"/>
    <w:rsid w:val="00C40166"/>
    <w:rsid w:val="00C405AF"/>
    <w:rsid w:val="00C4068D"/>
    <w:rsid w:val="00C412DD"/>
    <w:rsid w:val="00C418E2"/>
    <w:rsid w:val="00C419FB"/>
    <w:rsid w:val="00C428F9"/>
    <w:rsid w:val="00C42C05"/>
    <w:rsid w:val="00C42FAF"/>
    <w:rsid w:val="00C434A0"/>
    <w:rsid w:val="00C44144"/>
    <w:rsid w:val="00C44FA5"/>
    <w:rsid w:val="00C45274"/>
    <w:rsid w:val="00C46E63"/>
    <w:rsid w:val="00C471F3"/>
    <w:rsid w:val="00C4761D"/>
    <w:rsid w:val="00C4763F"/>
    <w:rsid w:val="00C47A94"/>
    <w:rsid w:val="00C5004E"/>
    <w:rsid w:val="00C500ED"/>
    <w:rsid w:val="00C50277"/>
    <w:rsid w:val="00C505B9"/>
    <w:rsid w:val="00C507A9"/>
    <w:rsid w:val="00C50B95"/>
    <w:rsid w:val="00C50BA9"/>
    <w:rsid w:val="00C50FE6"/>
    <w:rsid w:val="00C51312"/>
    <w:rsid w:val="00C52655"/>
    <w:rsid w:val="00C52D3E"/>
    <w:rsid w:val="00C52E5B"/>
    <w:rsid w:val="00C53A6F"/>
    <w:rsid w:val="00C54309"/>
    <w:rsid w:val="00C54368"/>
    <w:rsid w:val="00C549D0"/>
    <w:rsid w:val="00C54D97"/>
    <w:rsid w:val="00C54E56"/>
    <w:rsid w:val="00C55156"/>
    <w:rsid w:val="00C55228"/>
    <w:rsid w:val="00C55291"/>
    <w:rsid w:val="00C5589F"/>
    <w:rsid w:val="00C55DD7"/>
    <w:rsid w:val="00C56C34"/>
    <w:rsid w:val="00C56C6C"/>
    <w:rsid w:val="00C56D70"/>
    <w:rsid w:val="00C56E21"/>
    <w:rsid w:val="00C56EE6"/>
    <w:rsid w:val="00C5736E"/>
    <w:rsid w:val="00C57381"/>
    <w:rsid w:val="00C57538"/>
    <w:rsid w:val="00C57AE6"/>
    <w:rsid w:val="00C57EA8"/>
    <w:rsid w:val="00C57F36"/>
    <w:rsid w:val="00C601DD"/>
    <w:rsid w:val="00C60439"/>
    <w:rsid w:val="00C60732"/>
    <w:rsid w:val="00C61B33"/>
    <w:rsid w:val="00C61D9F"/>
    <w:rsid w:val="00C621E5"/>
    <w:rsid w:val="00C62389"/>
    <w:rsid w:val="00C626ED"/>
    <w:rsid w:val="00C62A88"/>
    <w:rsid w:val="00C62D28"/>
    <w:rsid w:val="00C62DE1"/>
    <w:rsid w:val="00C62E4C"/>
    <w:rsid w:val="00C6327D"/>
    <w:rsid w:val="00C63421"/>
    <w:rsid w:val="00C63D40"/>
    <w:rsid w:val="00C63E16"/>
    <w:rsid w:val="00C63FDB"/>
    <w:rsid w:val="00C643D0"/>
    <w:rsid w:val="00C6445C"/>
    <w:rsid w:val="00C647C3"/>
    <w:rsid w:val="00C649E9"/>
    <w:rsid w:val="00C653F6"/>
    <w:rsid w:val="00C654F0"/>
    <w:rsid w:val="00C6559E"/>
    <w:rsid w:val="00C6581A"/>
    <w:rsid w:val="00C65A3F"/>
    <w:rsid w:val="00C65CEB"/>
    <w:rsid w:val="00C65EA9"/>
    <w:rsid w:val="00C66588"/>
    <w:rsid w:val="00C66751"/>
    <w:rsid w:val="00C66B3A"/>
    <w:rsid w:val="00C66E83"/>
    <w:rsid w:val="00C6707B"/>
    <w:rsid w:val="00C67117"/>
    <w:rsid w:val="00C67261"/>
    <w:rsid w:val="00C672B0"/>
    <w:rsid w:val="00C67F92"/>
    <w:rsid w:val="00C704EC"/>
    <w:rsid w:val="00C70687"/>
    <w:rsid w:val="00C707C5"/>
    <w:rsid w:val="00C70B1A"/>
    <w:rsid w:val="00C70CCC"/>
    <w:rsid w:val="00C70F10"/>
    <w:rsid w:val="00C7105A"/>
    <w:rsid w:val="00C71475"/>
    <w:rsid w:val="00C7149F"/>
    <w:rsid w:val="00C716E1"/>
    <w:rsid w:val="00C71FA9"/>
    <w:rsid w:val="00C72C34"/>
    <w:rsid w:val="00C730C6"/>
    <w:rsid w:val="00C7330A"/>
    <w:rsid w:val="00C733F5"/>
    <w:rsid w:val="00C7354F"/>
    <w:rsid w:val="00C73891"/>
    <w:rsid w:val="00C73F5C"/>
    <w:rsid w:val="00C74413"/>
    <w:rsid w:val="00C744A5"/>
    <w:rsid w:val="00C74510"/>
    <w:rsid w:val="00C7456A"/>
    <w:rsid w:val="00C750EB"/>
    <w:rsid w:val="00C75308"/>
    <w:rsid w:val="00C7608A"/>
    <w:rsid w:val="00C7630A"/>
    <w:rsid w:val="00C765E5"/>
    <w:rsid w:val="00C76611"/>
    <w:rsid w:val="00C768D3"/>
    <w:rsid w:val="00C76AA9"/>
    <w:rsid w:val="00C775DC"/>
    <w:rsid w:val="00C7775F"/>
    <w:rsid w:val="00C77819"/>
    <w:rsid w:val="00C77A5C"/>
    <w:rsid w:val="00C801ED"/>
    <w:rsid w:val="00C802B6"/>
    <w:rsid w:val="00C80436"/>
    <w:rsid w:val="00C804D3"/>
    <w:rsid w:val="00C80EA7"/>
    <w:rsid w:val="00C811AB"/>
    <w:rsid w:val="00C8179B"/>
    <w:rsid w:val="00C817F8"/>
    <w:rsid w:val="00C82646"/>
    <w:rsid w:val="00C82857"/>
    <w:rsid w:val="00C82E19"/>
    <w:rsid w:val="00C82F47"/>
    <w:rsid w:val="00C8300D"/>
    <w:rsid w:val="00C8373F"/>
    <w:rsid w:val="00C83981"/>
    <w:rsid w:val="00C83DF6"/>
    <w:rsid w:val="00C84B7A"/>
    <w:rsid w:val="00C84C8E"/>
    <w:rsid w:val="00C84D16"/>
    <w:rsid w:val="00C84E0F"/>
    <w:rsid w:val="00C84FF0"/>
    <w:rsid w:val="00C852CE"/>
    <w:rsid w:val="00C859F7"/>
    <w:rsid w:val="00C85CAD"/>
    <w:rsid w:val="00C85E5A"/>
    <w:rsid w:val="00C85EAE"/>
    <w:rsid w:val="00C85FCD"/>
    <w:rsid w:val="00C86008"/>
    <w:rsid w:val="00C866BA"/>
    <w:rsid w:val="00C8671F"/>
    <w:rsid w:val="00C86A43"/>
    <w:rsid w:val="00C86B68"/>
    <w:rsid w:val="00C86CF4"/>
    <w:rsid w:val="00C86D79"/>
    <w:rsid w:val="00C875DA"/>
    <w:rsid w:val="00C8768C"/>
    <w:rsid w:val="00C87734"/>
    <w:rsid w:val="00C877C6"/>
    <w:rsid w:val="00C87B2A"/>
    <w:rsid w:val="00C87C1A"/>
    <w:rsid w:val="00C90401"/>
    <w:rsid w:val="00C90875"/>
    <w:rsid w:val="00C90935"/>
    <w:rsid w:val="00C90AF2"/>
    <w:rsid w:val="00C90D9D"/>
    <w:rsid w:val="00C914C3"/>
    <w:rsid w:val="00C91678"/>
    <w:rsid w:val="00C91A2F"/>
    <w:rsid w:val="00C91A83"/>
    <w:rsid w:val="00C91E65"/>
    <w:rsid w:val="00C923D6"/>
    <w:rsid w:val="00C927D3"/>
    <w:rsid w:val="00C928BA"/>
    <w:rsid w:val="00C93232"/>
    <w:rsid w:val="00C93A18"/>
    <w:rsid w:val="00C93BE4"/>
    <w:rsid w:val="00C93EAC"/>
    <w:rsid w:val="00C94481"/>
    <w:rsid w:val="00C947B6"/>
    <w:rsid w:val="00C94CB2"/>
    <w:rsid w:val="00C95181"/>
    <w:rsid w:val="00C9538A"/>
    <w:rsid w:val="00C954A9"/>
    <w:rsid w:val="00C9582F"/>
    <w:rsid w:val="00C95D30"/>
    <w:rsid w:val="00C95F1A"/>
    <w:rsid w:val="00C95F57"/>
    <w:rsid w:val="00C9616A"/>
    <w:rsid w:val="00C9666D"/>
    <w:rsid w:val="00C96ABE"/>
    <w:rsid w:val="00C96D0C"/>
    <w:rsid w:val="00C972B4"/>
    <w:rsid w:val="00C974CE"/>
    <w:rsid w:val="00C97BF2"/>
    <w:rsid w:val="00C97DE5"/>
    <w:rsid w:val="00C97E97"/>
    <w:rsid w:val="00CA00CE"/>
    <w:rsid w:val="00CA163F"/>
    <w:rsid w:val="00CA19B5"/>
    <w:rsid w:val="00CA1D0A"/>
    <w:rsid w:val="00CA21E7"/>
    <w:rsid w:val="00CA254D"/>
    <w:rsid w:val="00CA2B99"/>
    <w:rsid w:val="00CA2D19"/>
    <w:rsid w:val="00CA2EAB"/>
    <w:rsid w:val="00CA3970"/>
    <w:rsid w:val="00CA4126"/>
    <w:rsid w:val="00CA43D6"/>
    <w:rsid w:val="00CA459F"/>
    <w:rsid w:val="00CA5612"/>
    <w:rsid w:val="00CA60E4"/>
    <w:rsid w:val="00CA628D"/>
    <w:rsid w:val="00CA6D83"/>
    <w:rsid w:val="00CA7474"/>
    <w:rsid w:val="00CA76A4"/>
    <w:rsid w:val="00CA7AAE"/>
    <w:rsid w:val="00CA7CEE"/>
    <w:rsid w:val="00CB04A3"/>
    <w:rsid w:val="00CB0BE9"/>
    <w:rsid w:val="00CB1F82"/>
    <w:rsid w:val="00CB241A"/>
    <w:rsid w:val="00CB2908"/>
    <w:rsid w:val="00CB2B9A"/>
    <w:rsid w:val="00CB3100"/>
    <w:rsid w:val="00CB3670"/>
    <w:rsid w:val="00CB374F"/>
    <w:rsid w:val="00CB3B1D"/>
    <w:rsid w:val="00CB3D61"/>
    <w:rsid w:val="00CB3E7E"/>
    <w:rsid w:val="00CB3EEC"/>
    <w:rsid w:val="00CB43D9"/>
    <w:rsid w:val="00CB43E1"/>
    <w:rsid w:val="00CB4706"/>
    <w:rsid w:val="00CB4A1B"/>
    <w:rsid w:val="00CB4D66"/>
    <w:rsid w:val="00CB4D8B"/>
    <w:rsid w:val="00CB4F0F"/>
    <w:rsid w:val="00CB6948"/>
    <w:rsid w:val="00CB6BE5"/>
    <w:rsid w:val="00CB6FDC"/>
    <w:rsid w:val="00CB7312"/>
    <w:rsid w:val="00CC02D4"/>
    <w:rsid w:val="00CC087E"/>
    <w:rsid w:val="00CC09A3"/>
    <w:rsid w:val="00CC1008"/>
    <w:rsid w:val="00CC119D"/>
    <w:rsid w:val="00CC1447"/>
    <w:rsid w:val="00CC1714"/>
    <w:rsid w:val="00CC248D"/>
    <w:rsid w:val="00CC2522"/>
    <w:rsid w:val="00CC27BA"/>
    <w:rsid w:val="00CC2E99"/>
    <w:rsid w:val="00CC3276"/>
    <w:rsid w:val="00CC33FB"/>
    <w:rsid w:val="00CC345F"/>
    <w:rsid w:val="00CC357D"/>
    <w:rsid w:val="00CC369B"/>
    <w:rsid w:val="00CC3DE9"/>
    <w:rsid w:val="00CC42A1"/>
    <w:rsid w:val="00CC4E09"/>
    <w:rsid w:val="00CC4FE3"/>
    <w:rsid w:val="00CC5251"/>
    <w:rsid w:val="00CC528A"/>
    <w:rsid w:val="00CC5689"/>
    <w:rsid w:val="00CC6864"/>
    <w:rsid w:val="00CC6889"/>
    <w:rsid w:val="00CC6891"/>
    <w:rsid w:val="00CC74B6"/>
    <w:rsid w:val="00CC7888"/>
    <w:rsid w:val="00CC7926"/>
    <w:rsid w:val="00CC79CC"/>
    <w:rsid w:val="00CC7E27"/>
    <w:rsid w:val="00CC7F24"/>
    <w:rsid w:val="00CD0507"/>
    <w:rsid w:val="00CD0A21"/>
    <w:rsid w:val="00CD0EBA"/>
    <w:rsid w:val="00CD159A"/>
    <w:rsid w:val="00CD1EC4"/>
    <w:rsid w:val="00CD1F34"/>
    <w:rsid w:val="00CD2386"/>
    <w:rsid w:val="00CD2579"/>
    <w:rsid w:val="00CD2821"/>
    <w:rsid w:val="00CD2BC6"/>
    <w:rsid w:val="00CD3044"/>
    <w:rsid w:val="00CD3500"/>
    <w:rsid w:val="00CD36C9"/>
    <w:rsid w:val="00CD3BCF"/>
    <w:rsid w:val="00CD4570"/>
    <w:rsid w:val="00CD4BF8"/>
    <w:rsid w:val="00CD5096"/>
    <w:rsid w:val="00CD5646"/>
    <w:rsid w:val="00CD5908"/>
    <w:rsid w:val="00CD5F68"/>
    <w:rsid w:val="00CD5FFB"/>
    <w:rsid w:val="00CD6015"/>
    <w:rsid w:val="00CD604B"/>
    <w:rsid w:val="00CD67BA"/>
    <w:rsid w:val="00CD6964"/>
    <w:rsid w:val="00CD6A87"/>
    <w:rsid w:val="00CD7843"/>
    <w:rsid w:val="00CD78A1"/>
    <w:rsid w:val="00CD7EE3"/>
    <w:rsid w:val="00CE0315"/>
    <w:rsid w:val="00CE0581"/>
    <w:rsid w:val="00CE0B4D"/>
    <w:rsid w:val="00CE0CAF"/>
    <w:rsid w:val="00CE1356"/>
    <w:rsid w:val="00CE17DC"/>
    <w:rsid w:val="00CE1E92"/>
    <w:rsid w:val="00CE1F1D"/>
    <w:rsid w:val="00CE1F57"/>
    <w:rsid w:val="00CE1FD9"/>
    <w:rsid w:val="00CE2155"/>
    <w:rsid w:val="00CE22D5"/>
    <w:rsid w:val="00CE26CC"/>
    <w:rsid w:val="00CE2754"/>
    <w:rsid w:val="00CE2969"/>
    <w:rsid w:val="00CE2A1D"/>
    <w:rsid w:val="00CE2B2F"/>
    <w:rsid w:val="00CE2B48"/>
    <w:rsid w:val="00CE2DF9"/>
    <w:rsid w:val="00CE2EAB"/>
    <w:rsid w:val="00CE3199"/>
    <w:rsid w:val="00CE3C62"/>
    <w:rsid w:val="00CE43C7"/>
    <w:rsid w:val="00CE44F6"/>
    <w:rsid w:val="00CE4B5D"/>
    <w:rsid w:val="00CE50D6"/>
    <w:rsid w:val="00CE511E"/>
    <w:rsid w:val="00CE5DBF"/>
    <w:rsid w:val="00CE5EFC"/>
    <w:rsid w:val="00CE605C"/>
    <w:rsid w:val="00CE627A"/>
    <w:rsid w:val="00CE6552"/>
    <w:rsid w:val="00CE65C4"/>
    <w:rsid w:val="00CE666B"/>
    <w:rsid w:val="00CE7679"/>
    <w:rsid w:val="00CE7A77"/>
    <w:rsid w:val="00CE7BC3"/>
    <w:rsid w:val="00CE7D05"/>
    <w:rsid w:val="00CE7F24"/>
    <w:rsid w:val="00CF030B"/>
    <w:rsid w:val="00CF08DD"/>
    <w:rsid w:val="00CF0912"/>
    <w:rsid w:val="00CF0B17"/>
    <w:rsid w:val="00CF0CA5"/>
    <w:rsid w:val="00CF1162"/>
    <w:rsid w:val="00CF13A7"/>
    <w:rsid w:val="00CF1498"/>
    <w:rsid w:val="00CF16D9"/>
    <w:rsid w:val="00CF1E6B"/>
    <w:rsid w:val="00CF1EC2"/>
    <w:rsid w:val="00CF252C"/>
    <w:rsid w:val="00CF2AFF"/>
    <w:rsid w:val="00CF2C2E"/>
    <w:rsid w:val="00CF2D78"/>
    <w:rsid w:val="00CF30E1"/>
    <w:rsid w:val="00CF3169"/>
    <w:rsid w:val="00CF31CD"/>
    <w:rsid w:val="00CF38AB"/>
    <w:rsid w:val="00CF3B24"/>
    <w:rsid w:val="00CF3B46"/>
    <w:rsid w:val="00CF4427"/>
    <w:rsid w:val="00CF454D"/>
    <w:rsid w:val="00CF4C0E"/>
    <w:rsid w:val="00CF4DD5"/>
    <w:rsid w:val="00CF51BC"/>
    <w:rsid w:val="00CF5555"/>
    <w:rsid w:val="00CF5F7D"/>
    <w:rsid w:val="00CF61C6"/>
    <w:rsid w:val="00CF6CD3"/>
    <w:rsid w:val="00CF6F0C"/>
    <w:rsid w:val="00CF7233"/>
    <w:rsid w:val="00CF75EB"/>
    <w:rsid w:val="00CF78BF"/>
    <w:rsid w:val="00CF78C3"/>
    <w:rsid w:val="00CF795C"/>
    <w:rsid w:val="00CF7A11"/>
    <w:rsid w:val="00CF7BE0"/>
    <w:rsid w:val="00D00175"/>
    <w:rsid w:val="00D00210"/>
    <w:rsid w:val="00D00459"/>
    <w:rsid w:val="00D0095F"/>
    <w:rsid w:val="00D00AA3"/>
    <w:rsid w:val="00D00E42"/>
    <w:rsid w:val="00D011FF"/>
    <w:rsid w:val="00D01300"/>
    <w:rsid w:val="00D01D35"/>
    <w:rsid w:val="00D01D68"/>
    <w:rsid w:val="00D01EBF"/>
    <w:rsid w:val="00D0209B"/>
    <w:rsid w:val="00D02183"/>
    <w:rsid w:val="00D02192"/>
    <w:rsid w:val="00D0310A"/>
    <w:rsid w:val="00D031DB"/>
    <w:rsid w:val="00D03464"/>
    <w:rsid w:val="00D03730"/>
    <w:rsid w:val="00D0419C"/>
    <w:rsid w:val="00D044F5"/>
    <w:rsid w:val="00D04B73"/>
    <w:rsid w:val="00D05321"/>
    <w:rsid w:val="00D05913"/>
    <w:rsid w:val="00D0597F"/>
    <w:rsid w:val="00D05DD0"/>
    <w:rsid w:val="00D05F4C"/>
    <w:rsid w:val="00D05F95"/>
    <w:rsid w:val="00D05FE1"/>
    <w:rsid w:val="00D067F3"/>
    <w:rsid w:val="00D067FE"/>
    <w:rsid w:val="00D06911"/>
    <w:rsid w:val="00D06B0D"/>
    <w:rsid w:val="00D06F88"/>
    <w:rsid w:val="00D071D4"/>
    <w:rsid w:val="00D07FB4"/>
    <w:rsid w:val="00D103B2"/>
    <w:rsid w:val="00D104ED"/>
    <w:rsid w:val="00D10562"/>
    <w:rsid w:val="00D10BBA"/>
    <w:rsid w:val="00D11C6F"/>
    <w:rsid w:val="00D12854"/>
    <w:rsid w:val="00D12B7F"/>
    <w:rsid w:val="00D12DB4"/>
    <w:rsid w:val="00D1311E"/>
    <w:rsid w:val="00D132B2"/>
    <w:rsid w:val="00D13C4D"/>
    <w:rsid w:val="00D13D19"/>
    <w:rsid w:val="00D13FF4"/>
    <w:rsid w:val="00D146C1"/>
    <w:rsid w:val="00D14792"/>
    <w:rsid w:val="00D14925"/>
    <w:rsid w:val="00D14971"/>
    <w:rsid w:val="00D14E11"/>
    <w:rsid w:val="00D15011"/>
    <w:rsid w:val="00D151EE"/>
    <w:rsid w:val="00D1562E"/>
    <w:rsid w:val="00D1579B"/>
    <w:rsid w:val="00D158A7"/>
    <w:rsid w:val="00D15D4F"/>
    <w:rsid w:val="00D1628C"/>
    <w:rsid w:val="00D1672A"/>
    <w:rsid w:val="00D16848"/>
    <w:rsid w:val="00D171C0"/>
    <w:rsid w:val="00D17665"/>
    <w:rsid w:val="00D17B24"/>
    <w:rsid w:val="00D200DD"/>
    <w:rsid w:val="00D203B8"/>
    <w:rsid w:val="00D20EFE"/>
    <w:rsid w:val="00D20F79"/>
    <w:rsid w:val="00D21130"/>
    <w:rsid w:val="00D2170D"/>
    <w:rsid w:val="00D2198B"/>
    <w:rsid w:val="00D21A1E"/>
    <w:rsid w:val="00D21B61"/>
    <w:rsid w:val="00D21BE3"/>
    <w:rsid w:val="00D21D2D"/>
    <w:rsid w:val="00D220A5"/>
    <w:rsid w:val="00D2231F"/>
    <w:rsid w:val="00D224E9"/>
    <w:rsid w:val="00D22996"/>
    <w:rsid w:val="00D229A4"/>
    <w:rsid w:val="00D23522"/>
    <w:rsid w:val="00D23C46"/>
    <w:rsid w:val="00D23CFD"/>
    <w:rsid w:val="00D23FE6"/>
    <w:rsid w:val="00D248A8"/>
    <w:rsid w:val="00D248BE"/>
    <w:rsid w:val="00D24B1A"/>
    <w:rsid w:val="00D24E71"/>
    <w:rsid w:val="00D2553B"/>
    <w:rsid w:val="00D2559C"/>
    <w:rsid w:val="00D25D43"/>
    <w:rsid w:val="00D25D5F"/>
    <w:rsid w:val="00D260B2"/>
    <w:rsid w:val="00D260BD"/>
    <w:rsid w:val="00D263A8"/>
    <w:rsid w:val="00D26451"/>
    <w:rsid w:val="00D2648A"/>
    <w:rsid w:val="00D269FE"/>
    <w:rsid w:val="00D27AEF"/>
    <w:rsid w:val="00D30149"/>
    <w:rsid w:val="00D305D3"/>
    <w:rsid w:val="00D30B11"/>
    <w:rsid w:val="00D30B82"/>
    <w:rsid w:val="00D30CCD"/>
    <w:rsid w:val="00D3144D"/>
    <w:rsid w:val="00D31B5C"/>
    <w:rsid w:val="00D321B2"/>
    <w:rsid w:val="00D3222D"/>
    <w:rsid w:val="00D324A2"/>
    <w:rsid w:val="00D32A6B"/>
    <w:rsid w:val="00D333E8"/>
    <w:rsid w:val="00D3365A"/>
    <w:rsid w:val="00D33CB5"/>
    <w:rsid w:val="00D33F62"/>
    <w:rsid w:val="00D33FF6"/>
    <w:rsid w:val="00D3404B"/>
    <w:rsid w:val="00D3434E"/>
    <w:rsid w:val="00D34392"/>
    <w:rsid w:val="00D34673"/>
    <w:rsid w:val="00D34CF9"/>
    <w:rsid w:val="00D351B6"/>
    <w:rsid w:val="00D35869"/>
    <w:rsid w:val="00D35CB6"/>
    <w:rsid w:val="00D35F4A"/>
    <w:rsid w:val="00D364D7"/>
    <w:rsid w:val="00D364FA"/>
    <w:rsid w:val="00D36AD3"/>
    <w:rsid w:val="00D36B53"/>
    <w:rsid w:val="00D36D6C"/>
    <w:rsid w:val="00D37015"/>
    <w:rsid w:val="00D374CF"/>
    <w:rsid w:val="00D3795D"/>
    <w:rsid w:val="00D37C73"/>
    <w:rsid w:val="00D404FE"/>
    <w:rsid w:val="00D40649"/>
    <w:rsid w:val="00D40701"/>
    <w:rsid w:val="00D408F6"/>
    <w:rsid w:val="00D40B35"/>
    <w:rsid w:val="00D40CB1"/>
    <w:rsid w:val="00D4148B"/>
    <w:rsid w:val="00D4258B"/>
    <w:rsid w:val="00D427FD"/>
    <w:rsid w:val="00D431A4"/>
    <w:rsid w:val="00D43B4B"/>
    <w:rsid w:val="00D440FB"/>
    <w:rsid w:val="00D44857"/>
    <w:rsid w:val="00D44B7A"/>
    <w:rsid w:val="00D44DEE"/>
    <w:rsid w:val="00D44FE0"/>
    <w:rsid w:val="00D45121"/>
    <w:rsid w:val="00D454C0"/>
    <w:rsid w:val="00D45C1C"/>
    <w:rsid w:val="00D45CAB"/>
    <w:rsid w:val="00D45EE1"/>
    <w:rsid w:val="00D4603B"/>
    <w:rsid w:val="00D464B8"/>
    <w:rsid w:val="00D46895"/>
    <w:rsid w:val="00D46C5E"/>
    <w:rsid w:val="00D46EAD"/>
    <w:rsid w:val="00D47429"/>
    <w:rsid w:val="00D479B0"/>
    <w:rsid w:val="00D50141"/>
    <w:rsid w:val="00D505CA"/>
    <w:rsid w:val="00D50A6F"/>
    <w:rsid w:val="00D50DB7"/>
    <w:rsid w:val="00D5137E"/>
    <w:rsid w:val="00D5162E"/>
    <w:rsid w:val="00D51BC1"/>
    <w:rsid w:val="00D51CED"/>
    <w:rsid w:val="00D52C87"/>
    <w:rsid w:val="00D5316F"/>
    <w:rsid w:val="00D534EE"/>
    <w:rsid w:val="00D5359A"/>
    <w:rsid w:val="00D53DAD"/>
    <w:rsid w:val="00D53EA6"/>
    <w:rsid w:val="00D54340"/>
    <w:rsid w:val="00D545FC"/>
    <w:rsid w:val="00D552D4"/>
    <w:rsid w:val="00D55692"/>
    <w:rsid w:val="00D558C6"/>
    <w:rsid w:val="00D558E0"/>
    <w:rsid w:val="00D5610D"/>
    <w:rsid w:val="00D5656A"/>
    <w:rsid w:val="00D569E1"/>
    <w:rsid w:val="00D56E8E"/>
    <w:rsid w:val="00D571F5"/>
    <w:rsid w:val="00D57421"/>
    <w:rsid w:val="00D600E6"/>
    <w:rsid w:val="00D60330"/>
    <w:rsid w:val="00D60989"/>
    <w:rsid w:val="00D60CE7"/>
    <w:rsid w:val="00D60DD4"/>
    <w:rsid w:val="00D60DEA"/>
    <w:rsid w:val="00D61042"/>
    <w:rsid w:val="00D61088"/>
    <w:rsid w:val="00D614C8"/>
    <w:rsid w:val="00D617C7"/>
    <w:rsid w:val="00D61CBA"/>
    <w:rsid w:val="00D61D40"/>
    <w:rsid w:val="00D61DA6"/>
    <w:rsid w:val="00D61E61"/>
    <w:rsid w:val="00D6263E"/>
    <w:rsid w:val="00D62DFB"/>
    <w:rsid w:val="00D62E5A"/>
    <w:rsid w:val="00D63A29"/>
    <w:rsid w:val="00D63B11"/>
    <w:rsid w:val="00D63DA8"/>
    <w:rsid w:val="00D63FD6"/>
    <w:rsid w:val="00D644EF"/>
    <w:rsid w:val="00D64733"/>
    <w:rsid w:val="00D6478A"/>
    <w:rsid w:val="00D64C71"/>
    <w:rsid w:val="00D654C9"/>
    <w:rsid w:val="00D65690"/>
    <w:rsid w:val="00D65A63"/>
    <w:rsid w:val="00D65A7B"/>
    <w:rsid w:val="00D65B46"/>
    <w:rsid w:val="00D66262"/>
    <w:rsid w:val="00D66540"/>
    <w:rsid w:val="00D66EF6"/>
    <w:rsid w:val="00D67EE9"/>
    <w:rsid w:val="00D70A41"/>
    <w:rsid w:val="00D70B54"/>
    <w:rsid w:val="00D70FAF"/>
    <w:rsid w:val="00D71118"/>
    <w:rsid w:val="00D71152"/>
    <w:rsid w:val="00D713C9"/>
    <w:rsid w:val="00D71716"/>
    <w:rsid w:val="00D7199A"/>
    <w:rsid w:val="00D71D4B"/>
    <w:rsid w:val="00D72194"/>
    <w:rsid w:val="00D725CD"/>
    <w:rsid w:val="00D734C4"/>
    <w:rsid w:val="00D7368B"/>
    <w:rsid w:val="00D73EEE"/>
    <w:rsid w:val="00D740A1"/>
    <w:rsid w:val="00D744E8"/>
    <w:rsid w:val="00D747E9"/>
    <w:rsid w:val="00D74BFD"/>
    <w:rsid w:val="00D75001"/>
    <w:rsid w:val="00D752E9"/>
    <w:rsid w:val="00D7547B"/>
    <w:rsid w:val="00D7554A"/>
    <w:rsid w:val="00D756BF"/>
    <w:rsid w:val="00D760CA"/>
    <w:rsid w:val="00D7647E"/>
    <w:rsid w:val="00D764A9"/>
    <w:rsid w:val="00D764DF"/>
    <w:rsid w:val="00D76888"/>
    <w:rsid w:val="00D76BE5"/>
    <w:rsid w:val="00D77141"/>
    <w:rsid w:val="00D775AF"/>
    <w:rsid w:val="00D7782A"/>
    <w:rsid w:val="00D77997"/>
    <w:rsid w:val="00D77B83"/>
    <w:rsid w:val="00D77B96"/>
    <w:rsid w:val="00D80BFF"/>
    <w:rsid w:val="00D81CE0"/>
    <w:rsid w:val="00D81D0C"/>
    <w:rsid w:val="00D82551"/>
    <w:rsid w:val="00D83172"/>
    <w:rsid w:val="00D8335D"/>
    <w:rsid w:val="00D833AA"/>
    <w:rsid w:val="00D8357C"/>
    <w:rsid w:val="00D83723"/>
    <w:rsid w:val="00D84083"/>
    <w:rsid w:val="00D84ADC"/>
    <w:rsid w:val="00D84CC1"/>
    <w:rsid w:val="00D8522E"/>
    <w:rsid w:val="00D85572"/>
    <w:rsid w:val="00D856BA"/>
    <w:rsid w:val="00D85901"/>
    <w:rsid w:val="00D85DF2"/>
    <w:rsid w:val="00D86390"/>
    <w:rsid w:val="00D86891"/>
    <w:rsid w:val="00D8786C"/>
    <w:rsid w:val="00D87908"/>
    <w:rsid w:val="00D87B8C"/>
    <w:rsid w:val="00D87F65"/>
    <w:rsid w:val="00D904E2"/>
    <w:rsid w:val="00D909B5"/>
    <w:rsid w:val="00D90ADB"/>
    <w:rsid w:val="00D90E0A"/>
    <w:rsid w:val="00D91060"/>
    <w:rsid w:val="00D91203"/>
    <w:rsid w:val="00D912A1"/>
    <w:rsid w:val="00D912B6"/>
    <w:rsid w:val="00D91617"/>
    <w:rsid w:val="00D91D07"/>
    <w:rsid w:val="00D92448"/>
    <w:rsid w:val="00D926FB"/>
    <w:rsid w:val="00D92983"/>
    <w:rsid w:val="00D92DE8"/>
    <w:rsid w:val="00D92F54"/>
    <w:rsid w:val="00D92FE4"/>
    <w:rsid w:val="00D93034"/>
    <w:rsid w:val="00D9314E"/>
    <w:rsid w:val="00D9316E"/>
    <w:rsid w:val="00D93FB8"/>
    <w:rsid w:val="00D94074"/>
    <w:rsid w:val="00D94BF0"/>
    <w:rsid w:val="00D94F1E"/>
    <w:rsid w:val="00D9512F"/>
    <w:rsid w:val="00D9536C"/>
    <w:rsid w:val="00D95610"/>
    <w:rsid w:val="00D95890"/>
    <w:rsid w:val="00D95E9B"/>
    <w:rsid w:val="00D96380"/>
    <w:rsid w:val="00D969E6"/>
    <w:rsid w:val="00D97068"/>
    <w:rsid w:val="00D971E3"/>
    <w:rsid w:val="00D974D5"/>
    <w:rsid w:val="00D976F0"/>
    <w:rsid w:val="00D97737"/>
    <w:rsid w:val="00D97AD1"/>
    <w:rsid w:val="00D97B2A"/>
    <w:rsid w:val="00DA01A2"/>
    <w:rsid w:val="00DA02A3"/>
    <w:rsid w:val="00DA091E"/>
    <w:rsid w:val="00DA0A23"/>
    <w:rsid w:val="00DA0A77"/>
    <w:rsid w:val="00DA0C43"/>
    <w:rsid w:val="00DA0C6B"/>
    <w:rsid w:val="00DA17A2"/>
    <w:rsid w:val="00DA287D"/>
    <w:rsid w:val="00DA2984"/>
    <w:rsid w:val="00DA29A4"/>
    <w:rsid w:val="00DA2AD0"/>
    <w:rsid w:val="00DA2C3D"/>
    <w:rsid w:val="00DA3246"/>
    <w:rsid w:val="00DA337A"/>
    <w:rsid w:val="00DA33D7"/>
    <w:rsid w:val="00DA3543"/>
    <w:rsid w:val="00DA360A"/>
    <w:rsid w:val="00DA3B97"/>
    <w:rsid w:val="00DA3EA4"/>
    <w:rsid w:val="00DA4015"/>
    <w:rsid w:val="00DA4B86"/>
    <w:rsid w:val="00DA5054"/>
    <w:rsid w:val="00DA543B"/>
    <w:rsid w:val="00DA57E2"/>
    <w:rsid w:val="00DA5D6A"/>
    <w:rsid w:val="00DA5F03"/>
    <w:rsid w:val="00DA6173"/>
    <w:rsid w:val="00DA6224"/>
    <w:rsid w:val="00DA642C"/>
    <w:rsid w:val="00DA6694"/>
    <w:rsid w:val="00DA6CC2"/>
    <w:rsid w:val="00DA6D88"/>
    <w:rsid w:val="00DA71AB"/>
    <w:rsid w:val="00DA74D3"/>
    <w:rsid w:val="00DA77A6"/>
    <w:rsid w:val="00DA7988"/>
    <w:rsid w:val="00DA7C5C"/>
    <w:rsid w:val="00DB00FE"/>
    <w:rsid w:val="00DB0329"/>
    <w:rsid w:val="00DB0869"/>
    <w:rsid w:val="00DB0B43"/>
    <w:rsid w:val="00DB0BBD"/>
    <w:rsid w:val="00DB0D88"/>
    <w:rsid w:val="00DB0E85"/>
    <w:rsid w:val="00DB133C"/>
    <w:rsid w:val="00DB1667"/>
    <w:rsid w:val="00DB1740"/>
    <w:rsid w:val="00DB1B2E"/>
    <w:rsid w:val="00DB1B45"/>
    <w:rsid w:val="00DB1F0E"/>
    <w:rsid w:val="00DB21D2"/>
    <w:rsid w:val="00DB25EA"/>
    <w:rsid w:val="00DB29E2"/>
    <w:rsid w:val="00DB2EC5"/>
    <w:rsid w:val="00DB30BF"/>
    <w:rsid w:val="00DB3449"/>
    <w:rsid w:val="00DB3ACB"/>
    <w:rsid w:val="00DB3B25"/>
    <w:rsid w:val="00DB3E8D"/>
    <w:rsid w:val="00DB5625"/>
    <w:rsid w:val="00DB5998"/>
    <w:rsid w:val="00DB5A2B"/>
    <w:rsid w:val="00DB5C49"/>
    <w:rsid w:val="00DB6D19"/>
    <w:rsid w:val="00DB7017"/>
    <w:rsid w:val="00DB7158"/>
    <w:rsid w:val="00DB73F7"/>
    <w:rsid w:val="00DB75D8"/>
    <w:rsid w:val="00DB7BD9"/>
    <w:rsid w:val="00DC0B7A"/>
    <w:rsid w:val="00DC1419"/>
    <w:rsid w:val="00DC1586"/>
    <w:rsid w:val="00DC16EE"/>
    <w:rsid w:val="00DC172D"/>
    <w:rsid w:val="00DC19E6"/>
    <w:rsid w:val="00DC1B74"/>
    <w:rsid w:val="00DC1CDA"/>
    <w:rsid w:val="00DC235F"/>
    <w:rsid w:val="00DC29A1"/>
    <w:rsid w:val="00DC338C"/>
    <w:rsid w:val="00DC3A43"/>
    <w:rsid w:val="00DC3B15"/>
    <w:rsid w:val="00DC3CD6"/>
    <w:rsid w:val="00DC3E3C"/>
    <w:rsid w:val="00DC42A4"/>
    <w:rsid w:val="00DC46DD"/>
    <w:rsid w:val="00DC4A99"/>
    <w:rsid w:val="00DC4BA4"/>
    <w:rsid w:val="00DC4E80"/>
    <w:rsid w:val="00DC5086"/>
    <w:rsid w:val="00DC508D"/>
    <w:rsid w:val="00DC52C2"/>
    <w:rsid w:val="00DC6033"/>
    <w:rsid w:val="00DC61A9"/>
    <w:rsid w:val="00DC6775"/>
    <w:rsid w:val="00DC67A3"/>
    <w:rsid w:val="00DC6EE0"/>
    <w:rsid w:val="00DC7212"/>
    <w:rsid w:val="00DC72CF"/>
    <w:rsid w:val="00DC7A34"/>
    <w:rsid w:val="00DD0613"/>
    <w:rsid w:val="00DD0C64"/>
    <w:rsid w:val="00DD1019"/>
    <w:rsid w:val="00DD1598"/>
    <w:rsid w:val="00DD16E6"/>
    <w:rsid w:val="00DD19A5"/>
    <w:rsid w:val="00DD2BD1"/>
    <w:rsid w:val="00DD2D31"/>
    <w:rsid w:val="00DD2FE9"/>
    <w:rsid w:val="00DD347C"/>
    <w:rsid w:val="00DD3A37"/>
    <w:rsid w:val="00DD41A4"/>
    <w:rsid w:val="00DD42DC"/>
    <w:rsid w:val="00DD48BE"/>
    <w:rsid w:val="00DD4B12"/>
    <w:rsid w:val="00DD4FE9"/>
    <w:rsid w:val="00DD509B"/>
    <w:rsid w:val="00DD53D9"/>
    <w:rsid w:val="00DD5689"/>
    <w:rsid w:val="00DD5A1D"/>
    <w:rsid w:val="00DD5ADE"/>
    <w:rsid w:val="00DD5B2B"/>
    <w:rsid w:val="00DD5C36"/>
    <w:rsid w:val="00DD5FE5"/>
    <w:rsid w:val="00DD6047"/>
    <w:rsid w:val="00DD6698"/>
    <w:rsid w:val="00DD677A"/>
    <w:rsid w:val="00DD6A0F"/>
    <w:rsid w:val="00DD6CE3"/>
    <w:rsid w:val="00DD7456"/>
    <w:rsid w:val="00DD79C6"/>
    <w:rsid w:val="00DD7BB5"/>
    <w:rsid w:val="00DD7C7F"/>
    <w:rsid w:val="00DD7F5B"/>
    <w:rsid w:val="00DE0053"/>
    <w:rsid w:val="00DE0213"/>
    <w:rsid w:val="00DE0609"/>
    <w:rsid w:val="00DE0711"/>
    <w:rsid w:val="00DE0811"/>
    <w:rsid w:val="00DE08D6"/>
    <w:rsid w:val="00DE141C"/>
    <w:rsid w:val="00DE186B"/>
    <w:rsid w:val="00DE1B21"/>
    <w:rsid w:val="00DE1F81"/>
    <w:rsid w:val="00DE201B"/>
    <w:rsid w:val="00DE23C0"/>
    <w:rsid w:val="00DE23F2"/>
    <w:rsid w:val="00DE2717"/>
    <w:rsid w:val="00DE29D4"/>
    <w:rsid w:val="00DE2B0E"/>
    <w:rsid w:val="00DE2C11"/>
    <w:rsid w:val="00DE2D44"/>
    <w:rsid w:val="00DE3EB9"/>
    <w:rsid w:val="00DE3F3C"/>
    <w:rsid w:val="00DE3F82"/>
    <w:rsid w:val="00DE3FD0"/>
    <w:rsid w:val="00DE4889"/>
    <w:rsid w:val="00DE4C6D"/>
    <w:rsid w:val="00DE5221"/>
    <w:rsid w:val="00DE5DF5"/>
    <w:rsid w:val="00DE62EC"/>
    <w:rsid w:val="00DE62EF"/>
    <w:rsid w:val="00DE6534"/>
    <w:rsid w:val="00DE6CB6"/>
    <w:rsid w:val="00DE6F80"/>
    <w:rsid w:val="00DE76CC"/>
    <w:rsid w:val="00DF01B8"/>
    <w:rsid w:val="00DF01BA"/>
    <w:rsid w:val="00DF130D"/>
    <w:rsid w:val="00DF13C3"/>
    <w:rsid w:val="00DF1E49"/>
    <w:rsid w:val="00DF26EE"/>
    <w:rsid w:val="00DF2DBB"/>
    <w:rsid w:val="00DF2F36"/>
    <w:rsid w:val="00DF35DC"/>
    <w:rsid w:val="00DF363A"/>
    <w:rsid w:val="00DF36BD"/>
    <w:rsid w:val="00DF379A"/>
    <w:rsid w:val="00DF3B17"/>
    <w:rsid w:val="00DF3C2E"/>
    <w:rsid w:val="00DF3DBB"/>
    <w:rsid w:val="00DF4160"/>
    <w:rsid w:val="00DF454D"/>
    <w:rsid w:val="00DF4678"/>
    <w:rsid w:val="00DF4D7B"/>
    <w:rsid w:val="00DF5215"/>
    <w:rsid w:val="00DF5C8E"/>
    <w:rsid w:val="00DF5E28"/>
    <w:rsid w:val="00DF618F"/>
    <w:rsid w:val="00DF637F"/>
    <w:rsid w:val="00DF6796"/>
    <w:rsid w:val="00DF6B58"/>
    <w:rsid w:val="00DF7467"/>
    <w:rsid w:val="00DF7CE1"/>
    <w:rsid w:val="00DF7E59"/>
    <w:rsid w:val="00E003E9"/>
    <w:rsid w:val="00E004F1"/>
    <w:rsid w:val="00E008B2"/>
    <w:rsid w:val="00E00B38"/>
    <w:rsid w:val="00E02C2F"/>
    <w:rsid w:val="00E0326A"/>
    <w:rsid w:val="00E03311"/>
    <w:rsid w:val="00E03850"/>
    <w:rsid w:val="00E03C90"/>
    <w:rsid w:val="00E04EA7"/>
    <w:rsid w:val="00E04F51"/>
    <w:rsid w:val="00E0504D"/>
    <w:rsid w:val="00E059FA"/>
    <w:rsid w:val="00E05D6D"/>
    <w:rsid w:val="00E05E1C"/>
    <w:rsid w:val="00E06A93"/>
    <w:rsid w:val="00E0712B"/>
    <w:rsid w:val="00E07158"/>
    <w:rsid w:val="00E07C3C"/>
    <w:rsid w:val="00E10228"/>
    <w:rsid w:val="00E1082D"/>
    <w:rsid w:val="00E10B08"/>
    <w:rsid w:val="00E10BEA"/>
    <w:rsid w:val="00E1110B"/>
    <w:rsid w:val="00E115C2"/>
    <w:rsid w:val="00E11DC4"/>
    <w:rsid w:val="00E11F90"/>
    <w:rsid w:val="00E121FC"/>
    <w:rsid w:val="00E12627"/>
    <w:rsid w:val="00E126B1"/>
    <w:rsid w:val="00E12DD6"/>
    <w:rsid w:val="00E12F1D"/>
    <w:rsid w:val="00E1301B"/>
    <w:rsid w:val="00E131F4"/>
    <w:rsid w:val="00E13B42"/>
    <w:rsid w:val="00E13E4C"/>
    <w:rsid w:val="00E13E77"/>
    <w:rsid w:val="00E14120"/>
    <w:rsid w:val="00E14337"/>
    <w:rsid w:val="00E14D22"/>
    <w:rsid w:val="00E15F4F"/>
    <w:rsid w:val="00E16A28"/>
    <w:rsid w:val="00E16A52"/>
    <w:rsid w:val="00E16C7D"/>
    <w:rsid w:val="00E16D60"/>
    <w:rsid w:val="00E16E44"/>
    <w:rsid w:val="00E16E88"/>
    <w:rsid w:val="00E16FB9"/>
    <w:rsid w:val="00E170CD"/>
    <w:rsid w:val="00E1788E"/>
    <w:rsid w:val="00E17A88"/>
    <w:rsid w:val="00E17B96"/>
    <w:rsid w:val="00E17D7E"/>
    <w:rsid w:val="00E17DF8"/>
    <w:rsid w:val="00E17E2A"/>
    <w:rsid w:val="00E203D5"/>
    <w:rsid w:val="00E2098A"/>
    <w:rsid w:val="00E20BE9"/>
    <w:rsid w:val="00E20D6E"/>
    <w:rsid w:val="00E2105A"/>
    <w:rsid w:val="00E21634"/>
    <w:rsid w:val="00E21781"/>
    <w:rsid w:val="00E21BA3"/>
    <w:rsid w:val="00E21FD1"/>
    <w:rsid w:val="00E2206B"/>
    <w:rsid w:val="00E22386"/>
    <w:rsid w:val="00E22E71"/>
    <w:rsid w:val="00E236B7"/>
    <w:rsid w:val="00E237E4"/>
    <w:rsid w:val="00E23F03"/>
    <w:rsid w:val="00E243ED"/>
    <w:rsid w:val="00E245E3"/>
    <w:rsid w:val="00E24619"/>
    <w:rsid w:val="00E24FA3"/>
    <w:rsid w:val="00E2521C"/>
    <w:rsid w:val="00E256C6"/>
    <w:rsid w:val="00E25A49"/>
    <w:rsid w:val="00E26132"/>
    <w:rsid w:val="00E262A7"/>
    <w:rsid w:val="00E26B84"/>
    <w:rsid w:val="00E26F1F"/>
    <w:rsid w:val="00E273B6"/>
    <w:rsid w:val="00E27A71"/>
    <w:rsid w:val="00E3013C"/>
    <w:rsid w:val="00E30823"/>
    <w:rsid w:val="00E30E26"/>
    <w:rsid w:val="00E30FA7"/>
    <w:rsid w:val="00E318DF"/>
    <w:rsid w:val="00E3191A"/>
    <w:rsid w:val="00E3191B"/>
    <w:rsid w:val="00E31E16"/>
    <w:rsid w:val="00E31E73"/>
    <w:rsid w:val="00E32920"/>
    <w:rsid w:val="00E32B65"/>
    <w:rsid w:val="00E33ABB"/>
    <w:rsid w:val="00E342C8"/>
    <w:rsid w:val="00E34409"/>
    <w:rsid w:val="00E34588"/>
    <w:rsid w:val="00E346FE"/>
    <w:rsid w:val="00E35472"/>
    <w:rsid w:val="00E355F0"/>
    <w:rsid w:val="00E3597F"/>
    <w:rsid w:val="00E35D08"/>
    <w:rsid w:val="00E363CB"/>
    <w:rsid w:val="00E364F5"/>
    <w:rsid w:val="00E36927"/>
    <w:rsid w:val="00E36E19"/>
    <w:rsid w:val="00E3735C"/>
    <w:rsid w:val="00E378AD"/>
    <w:rsid w:val="00E379BC"/>
    <w:rsid w:val="00E37CBA"/>
    <w:rsid w:val="00E37D33"/>
    <w:rsid w:val="00E40085"/>
    <w:rsid w:val="00E4060F"/>
    <w:rsid w:val="00E407B6"/>
    <w:rsid w:val="00E4081C"/>
    <w:rsid w:val="00E414D9"/>
    <w:rsid w:val="00E41714"/>
    <w:rsid w:val="00E418A4"/>
    <w:rsid w:val="00E41B02"/>
    <w:rsid w:val="00E4210B"/>
    <w:rsid w:val="00E42B2D"/>
    <w:rsid w:val="00E4339A"/>
    <w:rsid w:val="00E43ED2"/>
    <w:rsid w:val="00E43F58"/>
    <w:rsid w:val="00E44381"/>
    <w:rsid w:val="00E44564"/>
    <w:rsid w:val="00E45045"/>
    <w:rsid w:val="00E451A9"/>
    <w:rsid w:val="00E455B8"/>
    <w:rsid w:val="00E458D8"/>
    <w:rsid w:val="00E45EF3"/>
    <w:rsid w:val="00E45F36"/>
    <w:rsid w:val="00E460BE"/>
    <w:rsid w:val="00E4633E"/>
    <w:rsid w:val="00E466F1"/>
    <w:rsid w:val="00E468EB"/>
    <w:rsid w:val="00E46D1E"/>
    <w:rsid w:val="00E4792E"/>
    <w:rsid w:val="00E47E94"/>
    <w:rsid w:val="00E47EDF"/>
    <w:rsid w:val="00E5057B"/>
    <w:rsid w:val="00E50ABB"/>
    <w:rsid w:val="00E50D90"/>
    <w:rsid w:val="00E50F2C"/>
    <w:rsid w:val="00E51128"/>
    <w:rsid w:val="00E5128A"/>
    <w:rsid w:val="00E512C5"/>
    <w:rsid w:val="00E51ABA"/>
    <w:rsid w:val="00E5220C"/>
    <w:rsid w:val="00E52268"/>
    <w:rsid w:val="00E52284"/>
    <w:rsid w:val="00E522B3"/>
    <w:rsid w:val="00E53063"/>
    <w:rsid w:val="00E536F1"/>
    <w:rsid w:val="00E54974"/>
    <w:rsid w:val="00E54A35"/>
    <w:rsid w:val="00E54F96"/>
    <w:rsid w:val="00E55067"/>
    <w:rsid w:val="00E55304"/>
    <w:rsid w:val="00E553E9"/>
    <w:rsid w:val="00E553F7"/>
    <w:rsid w:val="00E55525"/>
    <w:rsid w:val="00E5555A"/>
    <w:rsid w:val="00E55B7A"/>
    <w:rsid w:val="00E56043"/>
    <w:rsid w:val="00E56C3C"/>
    <w:rsid w:val="00E56E07"/>
    <w:rsid w:val="00E576F6"/>
    <w:rsid w:val="00E57AFA"/>
    <w:rsid w:val="00E57BBF"/>
    <w:rsid w:val="00E60302"/>
    <w:rsid w:val="00E60599"/>
    <w:rsid w:val="00E60AE1"/>
    <w:rsid w:val="00E60B5C"/>
    <w:rsid w:val="00E60E70"/>
    <w:rsid w:val="00E622CF"/>
    <w:rsid w:val="00E62322"/>
    <w:rsid w:val="00E623BE"/>
    <w:rsid w:val="00E627AD"/>
    <w:rsid w:val="00E63037"/>
    <w:rsid w:val="00E630A5"/>
    <w:rsid w:val="00E6397E"/>
    <w:rsid w:val="00E63A33"/>
    <w:rsid w:val="00E642CA"/>
    <w:rsid w:val="00E64492"/>
    <w:rsid w:val="00E64494"/>
    <w:rsid w:val="00E64662"/>
    <w:rsid w:val="00E64929"/>
    <w:rsid w:val="00E64B11"/>
    <w:rsid w:val="00E64D05"/>
    <w:rsid w:val="00E6505E"/>
    <w:rsid w:val="00E65DAE"/>
    <w:rsid w:val="00E660BC"/>
    <w:rsid w:val="00E66702"/>
    <w:rsid w:val="00E6670A"/>
    <w:rsid w:val="00E6679D"/>
    <w:rsid w:val="00E66979"/>
    <w:rsid w:val="00E66B8B"/>
    <w:rsid w:val="00E66EB0"/>
    <w:rsid w:val="00E66EC9"/>
    <w:rsid w:val="00E6732D"/>
    <w:rsid w:val="00E6770C"/>
    <w:rsid w:val="00E67A41"/>
    <w:rsid w:val="00E67DEF"/>
    <w:rsid w:val="00E67F45"/>
    <w:rsid w:val="00E67F4B"/>
    <w:rsid w:val="00E7007C"/>
    <w:rsid w:val="00E70271"/>
    <w:rsid w:val="00E71029"/>
    <w:rsid w:val="00E712AE"/>
    <w:rsid w:val="00E71412"/>
    <w:rsid w:val="00E715BF"/>
    <w:rsid w:val="00E71766"/>
    <w:rsid w:val="00E718FE"/>
    <w:rsid w:val="00E71971"/>
    <w:rsid w:val="00E71E56"/>
    <w:rsid w:val="00E72351"/>
    <w:rsid w:val="00E72BB9"/>
    <w:rsid w:val="00E7331D"/>
    <w:rsid w:val="00E73B0C"/>
    <w:rsid w:val="00E74182"/>
    <w:rsid w:val="00E743C9"/>
    <w:rsid w:val="00E745D6"/>
    <w:rsid w:val="00E74681"/>
    <w:rsid w:val="00E74C0E"/>
    <w:rsid w:val="00E74E62"/>
    <w:rsid w:val="00E74EC6"/>
    <w:rsid w:val="00E75233"/>
    <w:rsid w:val="00E755FF"/>
    <w:rsid w:val="00E75A25"/>
    <w:rsid w:val="00E75CDB"/>
    <w:rsid w:val="00E76BD7"/>
    <w:rsid w:val="00E76C35"/>
    <w:rsid w:val="00E76E57"/>
    <w:rsid w:val="00E76EF5"/>
    <w:rsid w:val="00E76F7E"/>
    <w:rsid w:val="00E77275"/>
    <w:rsid w:val="00E772B8"/>
    <w:rsid w:val="00E7734A"/>
    <w:rsid w:val="00E7752F"/>
    <w:rsid w:val="00E7779B"/>
    <w:rsid w:val="00E77A99"/>
    <w:rsid w:val="00E805A3"/>
    <w:rsid w:val="00E809F0"/>
    <w:rsid w:val="00E80D72"/>
    <w:rsid w:val="00E80FF6"/>
    <w:rsid w:val="00E8103B"/>
    <w:rsid w:val="00E8139E"/>
    <w:rsid w:val="00E817D0"/>
    <w:rsid w:val="00E81A43"/>
    <w:rsid w:val="00E81C8A"/>
    <w:rsid w:val="00E821D4"/>
    <w:rsid w:val="00E82203"/>
    <w:rsid w:val="00E83130"/>
    <w:rsid w:val="00E833C6"/>
    <w:rsid w:val="00E838C3"/>
    <w:rsid w:val="00E83B85"/>
    <w:rsid w:val="00E84506"/>
    <w:rsid w:val="00E84518"/>
    <w:rsid w:val="00E846D9"/>
    <w:rsid w:val="00E848D8"/>
    <w:rsid w:val="00E85098"/>
    <w:rsid w:val="00E85971"/>
    <w:rsid w:val="00E85BFB"/>
    <w:rsid w:val="00E86405"/>
    <w:rsid w:val="00E86BDD"/>
    <w:rsid w:val="00E87967"/>
    <w:rsid w:val="00E87B51"/>
    <w:rsid w:val="00E9082D"/>
    <w:rsid w:val="00E90B14"/>
    <w:rsid w:val="00E90CAD"/>
    <w:rsid w:val="00E90DF7"/>
    <w:rsid w:val="00E910EC"/>
    <w:rsid w:val="00E913E8"/>
    <w:rsid w:val="00E9155F"/>
    <w:rsid w:val="00E91A7B"/>
    <w:rsid w:val="00E91B2A"/>
    <w:rsid w:val="00E92AD1"/>
    <w:rsid w:val="00E92BC0"/>
    <w:rsid w:val="00E93975"/>
    <w:rsid w:val="00E93F52"/>
    <w:rsid w:val="00E94033"/>
    <w:rsid w:val="00E940F4"/>
    <w:rsid w:val="00E942B6"/>
    <w:rsid w:val="00E954A0"/>
    <w:rsid w:val="00E95A12"/>
    <w:rsid w:val="00E95B96"/>
    <w:rsid w:val="00E95BB1"/>
    <w:rsid w:val="00E963FE"/>
    <w:rsid w:val="00E96460"/>
    <w:rsid w:val="00E964A4"/>
    <w:rsid w:val="00E96561"/>
    <w:rsid w:val="00E96710"/>
    <w:rsid w:val="00E96883"/>
    <w:rsid w:val="00E96A3A"/>
    <w:rsid w:val="00E96B35"/>
    <w:rsid w:val="00E971A6"/>
    <w:rsid w:val="00E976F1"/>
    <w:rsid w:val="00E979EB"/>
    <w:rsid w:val="00E97F02"/>
    <w:rsid w:val="00EA01E9"/>
    <w:rsid w:val="00EA0977"/>
    <w:rsid w:val="00EA0AFC"/>
    <w:rsid w:val="00EA1F07"/>
    <w:rsid w:val="00EA1F47"/>
    <w:rsid w:val="00EA2008"/>
    <w:rsid w:val="00EA21E6"/>
    <w:rsid w:val="00EA2357"/>
    <w:rsid w:val="00EA25D2"/>
    <w:rsid w:val="00EA25F0"/>
    <w:rsid w:val="00EA29A3"/>
    <w:rsid w:val="00EA3045"/>
    <w:rsid w:val="00EA3BDF"/>
    <w:rsid w:val="00EA3EB5"/>
    <w:rsid w:val="00EA4443"/>
    <w:rsid w:val="00EA557C"/>
    <w:rsid w:val="00EA562E"/>
    <w:rsid w:val="00EA56DA"/>
    <w:rsid w:val="00EA5FD5"/>
    <w:rsid w:val="00EA608E"/>
    <w:rsid w:val="00EA621D"/>
    <w:rsid w:val="00EA6951"/>
    <w:rsid w:val="00EA69D3"/>
    <w:rsid w:val="00EA6C60"/>
    <w:rsid w:val="00EA6C6E"/>
    <w:rsid w:val="00EA710F"/>
    <w:rsid w:val="00EA784D"/>
    <w:rsid w:val="00EA7B56"/>
    <w:rsid w:val="00EA7E57"/>
    <w:rsid w:val="00EB016E"/>
    <w:rsid w:val="00EB01A2"/>
    <w:rsid w:val="00EB069E"/>
    <w:rsid w:val="00EB0C6D"/>
    <w:rsid w:val="00EB0F11"/>
    <w:rsid w:val="00EB1052"/>
    <w:rsid w:val="00EB1263"/>
    <w:rsid w:val="00EB16BE"/>
    <w:rsid w:val="00EB1F7D"/>
    <w:rsid w:val="00EB24F9"/>
    <w:rsid w:val="00EB297A"/>
    <w:rsid w:val="00EB2BBD"/>
    <w:rsid w:val="00EB2BD2"/>
    <w:rsid w:val="00EB2DEA"/>
    <w:rsid w:val="00EB3892"/>
    <w:rsid w:val="00EB389B"/>
    <w:rsid w:val="00EB3B3E"/>
    <w:rsid w:val="00EB3B84"/>
    <w:rsid w:val="00EB4259"/>
    <w:rsid w:val="00EB5B1A"/>
    <w:rsid w:val="00EB5B39"/>
    <w:rsid w:val="00EB6745"/>
    <w:rsid w:val="00EB69E0"/>
    <w:rsid w:val="00EB719A"/>
    <w:rsid w:val="00EB743D"/>
    <w:rsid w:val="00EB7704"/>
    <w:rsid w:val="00EB7A6F"/>
    <w:rsid w:val="00EB7E4F"/>
    <w:rsid w:val="00EB7F1E"/>
    <w:rsid w:val="00EC00C3"/>
    <w:rsid w:val="00EC1250"/>
    <w:rsid w:val="00EC16E8"/>
    <w:rsid w:val="00EC17FD"/>
    <w:rsid w:val="00EC190A"/>
    <w:rsid w:val="00EC1C49"/>
    <w:rsid w:val="00EC2BFC"/>
    <w:rsid w:val="00EC2C0B"/>
    <w:rsid w:val="00EC2D52"/>
    <w:rsid w:val="00EC2E39"/>
    <w:rsid w:val="00EC30FD"/>
    <w:rsid w:val="00EC3255"/>
    <w:rsid w:val="00EC3562"/>
    <w:rsid w:val="00EC360F"/>
    <w:rsid w:val="00EC3A8D"/>
    <w:rsid w:val="00EC3AEA"/>
    <w:rsid w:val="00EC3CE5"/>
    <w:rsid w:val="00EC3E49"/>
    <w:rsid w:val="00EC4C52"/>
    <w:rsid w:val="00EC5041"/>
    <w:rsid w:val="00EC5AEE"/>
    <w:rsid w:val="00EC639C"/>
    <w:rsid w:val="00EC68A1"/>
    <w:rsid w:val="00EC6A64"/>
    <w:rsid w:val="00EC704C"/>
    <w:rsid w:val="00EC7644"/>
    <w:rsid w:val="00EC7693"/>
    <w:rsid w:val="00EC780B"/>
    <w:rsid w:val="00ED0048"/>
    <w:rsid w:val="00ED00BC"/>
    <w:rsid w:val="00ED08E7"/>
    <w:rsid w:val="00ED09E4"/>
    <w:rsid w:val="00ED0A68"/>
    <w:rsid w:val="00ED0EF0"/>
    <w:rsid w:val="00ED0F89"/>
    <w:rsid w:val="00ED2057"/>
    <w:rsid w:val="00ED23C7"/>
    <w:rsid w:val="00ED25CB"/>
    <w:rsid w:val="00ED2817"/>
    <w:rsid w:val="00ED297A"/>
    <w:rsid w:val="00ED2BB5"/>
    <w:rsid w:val="00ED3115"/>
    <w:rsid w:val="00ED3388"/>
    <w:rsid w:val="00ED3B70"/>
    <w:rsid w:val="00ED3C5E"/>
    <w:rsid w:val="00ED3F7B"/>
    <w:rsid w:val="00ED4DC9"/>
    <w:rsid w:val="00ED507F"/>
    <w:rsid w:val="00ED50D9"/>
    <w:rsid w:val="00ED5305"/>
    <w:rsid w:val="00ED5F8E"/>
    <w:rsid w:val="00ED604F"/>
    <w:rsid w:val="00ED609A"/>
    <w:rsid w:val="00ED6767"/>
    <w:rsid w:val="00ED69AC"/>
    <w:rsid w:val="00ED6D95"/>
    <w:rsid w:val="00ED7330"/>
    <w:rsid w:val="00ED74A4"/>
    <w:rsid w:val="00ED76B4"/>
    <w:rsid w:val="00ED7EEF"/>
    <w:rsid w:val="00EE0141"/>
    <w:rsid w:val="00EE0B35"/>
    <w:rsid w:val="00EE0E5F"/>
    <w:rsid w:val="00EE19FF"/>
    <w:rsid w:val="00EE2023"/>
    <w:rsid w:val="00EE2606"/>
    <w:rsid w:val="00EE2910"/>
    <w:rsid w:val="00EE2AF0"/>
    <w:rsid w:val="00EE33F5"/>
    <w:rsid w:val="00EE360F"/>
    <w:rsid w:val="00EE3729"/>
    <w:rsid w:val="00EE3D3F"/>
    <w:rsid w:val="00EE3F30"/>
    <w:rsid w:val="00EE4216"/>
    <w:rsid w:val="00EE58E2"/>
    <w:rsid w:val="00EE5911"/>
    <w:rsid w:val="00EE6C3B"/>
    <w:rsid w:val="00EE6C64"/>
    <w:rsid w:val="00EE6D3A"/>
    <w:rsid w:val="00EE6FD6"/>
    <w:rsid w:val="00EE7926"/>
    <w:rsid w:val="00EE7A36"/>
    <w:rsid w:val="00EE7C0F"/>
    <w:rsid w:val="00EF0186"/>
    <w:rsid w:val="00EF0BFD"/>
    <w:rsid w:val="00EF0CB6"/>
    <w:rsid w:val="00EF0CBB"/>
    <w:rsid w:val="00EF113C"/>
    <w:rsid w:val="00EF12B4"/>
    <w:rsid w:val="00EF20AE"/>
    <w:rsid w:val="00EF210D"/>
    <w:rsid w:val="00EF22C2"/>
    <w:rsid w:val="00EF241E"/>
    <w:rsid w:val="00EF2595"/>
    <w:rsid w:val="00EF2B8A"/>
    <w:rsid w:val="00EF3214"/>
    <w:rsid w:val="00EF326E"/>
    <w:rsid w:val="00EF3896"/>
    <w:rsid w:val="00EF481F"/>
    <w:rsid w:val="00EF4CFB"/>
    <w:rsid w:val="00EF5354"/>
    <w:rsid w:val="00EF53E8"/>
    <w:rsid w:val="00EF5913"/>
    <w:rsid w:val="00EF5E42"/>
    <w:rsid w:val="00EF62B2"/>
    <w:rsid w:val="00EF6506"/>
    <w:rsid w:val="00EF66FD"/>
    <w:rsid w:val="00EF6749"/>
    <w:rsid w:val="00EF6965"/>
    <w:rsid w:val="00EF7296"/>
    <w:rsid w:val="00EF786D"/>
    <w:rsid w:val="00F00626"/>
    <w:rsid w:val="00F006B3"/>
    <w:rsid w:val="00F006B5"/>
    <w:rsid w:val="00F00ABF"/>
    <w:rsid w:val="00F01519"/>
    <w:rsid w:val="00F018D6"/>
    <w:rsid w:val="00F01CDC"/>
    <w:rsid w:val="00F020BE"/>
    <w:rsid w:val="00F021AF"/>
    <w:rsid w:val="00F0245B"/>
    <w:rsid w:val="00F02823"/>
    <w:rsid w:val="00F02869"/>
    <w:rsid w:val="00F03194"/>
    <w:rsid w:val="00F036FF"/>
    <w:rsid w:val="00F03D47"/>
    <w:rsid w:val="00F03E85"/>
    <w:rsid w:val="00F0478F"/>
    <w:rsid w:val="00F04A34"/>
    <w:rsid w:val="00F04A8B"/>
    <w:rsid w:val="00F04DE2"/>
    <w:rsid w:val="00F05118"/>
    <w:rsid w:val="00F052FE"/>
    <w:rsid w:val="00F05616"/>
    <w:rsid w:val="00F05AB2"/>
    <w:rsid w:val="00F05FA7"/>
    <w:rsid w:val="00F0604C"/>
    <w:rsid w:val="00F062F1"/>
    <w:rsid w:val="00F0653E"/>
    <w:rsid w:val="00F06DDA"/>
    <w:rsid w:val="00F07616"/>
    <w:rsid w:val="00F07D5C"/>
    <w:rsid w:val="00F1007A"/>
    <w:rsid w:val="00F104C5"/>
    <w:rsid w:val="00F104DA"/>
    <w:rsid w:val="00F10CE0"/>
    <w:rsid w:val="00F10F51"/>
    <w:rsid w:val="00F10F77"/>
    <w:rsid w:val="00F1113E"/>
    <w:rsid w:val="00F112F7"/>
    <w:rsid w:val="00F11D4A"/>
    <w:rsid w:val="00F11FA3"/>
    <w:rsid w:val="00F1278A"/>
    <w:rsid w:val="00F12FCF"/>
    <w:rsid w:val="00F1315B"/>
    <w:rsid w:val="00F131DB"/>
    <w:rsid w:val="00F131F2"/>
    <w:rsid w:val="00F1369B"/>
    <w:rsid w:val="00F13707"/>
    <w:rsid w:val="00F13BC7"/>
    <w:rsid w:val="00F13C46"/>
    <w:rsid w:val="00F13C92"/>
    <w:rsid w:val="00F145D9"/>
    <w:rsid w:val="00F14838"/>
    <w:rsid w:val="00F1488A"/>
    <w:rsid w:val="00F14C4F"/>
    <w:rsid w:val="00F14D5D"/>
    <w:rsid w:val="00F15376"/>
    <w:rsid w:val="00F15488"/>
    <w:rsid w:val="00F15678"/>
    <w:rsid w:val="00F1583E"/>
    <w:rsid w:val="00F16338"/>
    <w:rsid w:val="00F16BC8"/>
    <w:rsid w:val="00F16F14"/>
    <w:rsid w:val="00F1715F"/>
    <w:rsid w:val="00F172C9"/>
    <w:rsid w:val="00F176D8"/>
    <w:rsid w:val="00F17858"/>
    <w:rsid w:val="00F17F83"/>
    <w:rsid w:val="00F2001E"/>
    <w:rsid w:val="00F208DF"/>
    <w:rsid w:val="00F21462"/>
    <w:rsid w:val="00F216DB"/>
    <w:rsid w:val="00F217E4"/>
    <w:rsid w:val="00F21E82"/>
    <w:rsid w:val="00F22365"/>
    <w:rsid w:val="00F229BC"/>
    <w:rsid w:val="00F22A32"/>
    <w:rsid w:val="00F22C28"/>
    <w:rsid w:val="00F22FA2"/>
    <w:rsid w:val="00F231B1"/>
    <w:rsid w:val="00F233D1"/>
    <w:rsid w:val="00F239C8"/>
    <w:rsid w:val="00F23AE1"/>
    <w:rsid w:val="00F23BB3"/>
    <w:rsid w:val="00F23BBC"/>
    <w:rsid w:val="00F23D82"/>
    <w:rsid w:val="00F24462"/>
    <w:rsid w:val="00F24521"/>
    <w:rsid w:val="00F2471A"/>
    <w:rsid w:val="00F25504"/>
    <w:rsid w:val="00F25B6F"/>
    <w:rsid w:val="00F25E45"/>
    <w:rsid w:val="00F2619D"/>
    <w:rsid w:val="00F262A1"/>
    <w:rsid w:val="00F26382"/>
    <w:rsid w:val="00F26863"/>
    <w:rsid w:val="00F270B0"/>
    <w:rsid w:val="00F273ED"/>
    <w:rsid w:val="00F279E9"/>
    <w:rsid w:val="00F27D3E"/>
    <w:rsid w:val="00F3099B"/>
    <w:rsid w:val="00F30C3A"/>
    <w:rsid w:val="00F3108D"/>
    <w:rsid w:val="00F31135"/>
    <w:rsid w:val="00F3121F"/>
    <w:rsid w:val="00F31397"/>
    <w:rsid w:val="00F313CE"/>
    <w:rsid w:val="00F315C8"/>
    <w:rsid w:val="00F3191C"/>
    <w:rsid w:val="00F31CC1"/>
    <w:rsid w:val="00F32653"/>
    <w:rsid w:val="00F33330"/>
    <w:rsid w:val="00F335E2"/>
    <w:rsid w:val="00F338B5"/>
    <w:rsid w:val="00F33D3E"/>
    <w:rsid w:val="00F33F41"/>
    <w:rsid w:val="00F33FC7"/>
    <w:rsid w:val="00F346DD"/>
    <w:rsid w:val="00F34F0F"/>
    <w:rsid w:val="00F350D8"/>
    <w:rsid w:val="00F352DF"/>
    <w:rsid w:val="00F3555F"/>
    <w:rsid w:val="00F357E4"/>
    <w:rsid w:val="00F35B18"/>
    <w:rsid w:val="00F360E0"/>
    <w:rsid w:val="00F36379"/>
    <w:rsid w:val="00F364C2"/>
    <w:rsid w:val="00F36EF3"/>
    <w:rsid w:val="00F370AD"/>
    <w:rsid w:val="00F3794A"/>
    <w:rsid w:val="00F37E1C"/>
    <w:rsid w:val="00F403E6"/>
    <w:rsid w:val="00F405EC"/>
    <w:rsid w:val="00F40836"/>
    <w:rsid w:val="00F40B8B"/>
    <w:rsid w:val="00F41506"/>
    <w:rsid w:val="00F41659"/>
    <w:rsid w:val="00F41B36"/>
    <w:rsid w:val="00F41D72"/>
    <w:rsid w:val="00F423D0"/>
    <w:rsid w:val="00F42966"/>
    <w:rsid w:val="00F42A91"/>
    <w:rsid w:val="00F42AD6"/>
    <w:rsid w:val="00F42B14"/>
    <w:rsid w:val="00F43A34"/>
    <w:rsid w:val="00F43D12"/>
    <w:rsid w:val="00F43F7E"/>
    <w:rsid w:val="00F441BD"/>
    <w:rsid w:val="00F44AB7"/>
    <w:rsid w:val="00F44B44"/>
    <w:rsid w:val="00F45B77"/>
    <w:rsid w:val="00F461C1"/>
    <w:rsid w:val="00F46226"/>
    <w:rsid w:val="00F4626B"/>
    <w:rsid w:val="00F4655C"/>
    <w:rsid w:val="00F46684"/>
    <w:rsid w:val="00F46B1A"/>
    <w:rsid w:val="00F47C03"/>
    <w:rsid w:val="00F503A9"/>
    <w:rsid w:val="00F50464"/>
    <w:rsid w:val="00F50471"/>
    <w:rsid w:val="00F50A0D"/>
    <w:rsid w:val="00F50D3B"/>
    <w:rsid w:val="00F512F2"/>
    <w:rsid w:val="00F51978"/>
    <w:rsid w:val="00F52012"/>
    <w:rsid w:val="00F52B43"/>
    <w:rsid w:val="00F538C2"/>
    <w:rsid w:val="00F53BB5"/>
    <w:rsid w:val="00F53BEC"/>
    <w:rsid w:val="00F53E4C"/>
    <w:rsid w:val="00F53EA5"/>
    <w:rsid w:val="00F53F17"/>
    <w:rsid w:val="00F543AD"/>
    <w:rsid w:val="00F54651"/>
    <w:rsid w:val="00F54659"/>
    <w:rsid w:val="00F55017"/>
    <w:rsid w:val="00F5513C"/>
    <w:rsid w:val="00F553DB"/>
    <w:rsid w:val="00F55415"/>
    <w:rsid w:val="00F55575"/>
    <w:rsid w:val="00F55679"/>
    <w:rsid w:val="00F558A1"/>
    <w:rsid w:val="00F5598F"/>
    <w:rsid w:val="00F559F7"/>
    <w:rsid w:val="00F561AE"/>
    <w:rsid w:val="00F5657D"/>
    <w:rsid w:val="00F56A58"/>
    <w:rsid w:val="00F56C43"/>
    <w:rsid w:val="00F5707B"/>
    <w:rsid w:val="00F572E4"/>
    <w:rsid w:val="00F57373"/>
    <w:rsid w:val="00F57662"/>
    <w:rsid w:val="00F57A69"/>
    <w:rsid w:val="00F6005E"/>
    <w:rsid w:val="00F60242"/>
    <w:rsid w:val="00F603D3"/>
    <w:rsid w:val="00F6055D"/>
    <w:rsid w:val="00F60F6D"/>
    <w:rsid w:val="00F616AF"/>
    <w:rsid w:val="00F616B4"/>
    <w:rsid w:val="00F61733"/>
    <w:rsid w:val="00F62D7A"/>
    <w:rsid w:val="00F63315"/>
    <w:rsid w:val="00F635B3"/>
    <w:rsid w:val="00F63B69"/>
    <w:rsid w:val="00F651A4"/>
    <w:rsid w:val="00F652BC"/>
    <w:rsid w:val="00F65A5E"/>
    <w:rsid w:val="00F65A9F"/>
    <w:rsid w:val="00F65C05"/>
    <w:rsid w:val="00F65D08"/>
    <w:rsid w:val="00F666AD"/>
    <w:rsid w:val="00F66D24"/>
    <w:rsid w:val="00F66EAE"/>
    <w:rsid w:val="00F66FC3"/>
    <w:rsid w:val="00F6759D"/>
    <w:rsid w:val="00F67611"/>
    <w:rsid w:val="00F676F2"/>
    <w:rsid w:val="00F679F5"/>
    <w:rsid w:val="00F70787"/>
    <w:rsid w:val="00F709E5"/>
    <w:rsid w:val="00F70E14"/>
    <w:rsid w:val="00F7116C"/>
    <w:rsid w:val="00F71C84"/>
    <w:rsid w:val="00F71DCA"/>
    <w:rsid w:val="00F71E0F"/>
    <w:rsid w:val="00F723AC"/>
    <w:rsid w:val="00F728EC"/>
    <w:rsid w:val="00F72AD0"/>
    <w:rsid w:val="00F72E8D"/>
    <w:rsid w:val="00F73036"/>
    <w:rsid w:val="00F7345A"/>
    <w:rsid w:val="00F73494"/>
    <w:rsid w:val="00F73AFB"/>
    <w:rsid w:val="00F73BE0"/>
    <w:rsid w:val="00F742DA"/>
    <w:rsid w:val="00F746CF"/>
    <w:rsid w:val="00F746F8"/>
    <w:rsid w:val="00F747EC"/>
    <w:rsid w:val="00F7485E"/>
    <w:rsid w:val="00F74920"/>
    <w:rsid w:val="00F74C14"/>
    <w:rsid w:val="00F751FC"/>
    <w:rsid w:val="00F7577E"/>
    <w:rsid w:val="00F75A12"/>
    <w:rsid w:val="00F75CAD"/>
    <w:rsid w:val="00F7674B"/>
    <w:rsid w:val="00F76786"/>
    <w:rsid w:val="00F76D4F"/>
    <w:rsid w:val="00F77129"/>
    <w:rsid w:val="00F80188"/>
    <w:rsid w:val="00F809AA"/>
    <w:rsid w:val="00F81144"/>
    <w:rsid w:val="00F81223"/>
    <w:rsid w:val="00F81838"/>
    <w:rsid w:val="00F8189C"/>
    <w:rsid w:val="00F824DF"/>
    <w:rsid w:val="00F82975"/>
    <w:rsid w:val="00F82E31"/>
    <w:rsid w:val="00F82EE9"/>
    <w:rsid w:val="00F8322D"/>
    <w:rsid w:val="00F83D21"/>
    <w:rsid w:val="00F8410D"/>
    <w:rsid w:val="00F844F9"/>
    <w:rsid w:val="00F84B01"/>
    <w:rsid w:val="00F84C6C"/>
    <w:rsid w:val="00F84EB5"/>
    <w:rsid w:val="00F851C0"/>
    <w:rsid w:val="00F8595A"/>
    <w:rsid w:val="00F85D2D"/>
    <w:rsid w:val="00F86749"/>
    <w:rsid w:val="00F86B7C"/>
    <w:rsid w:val="00F871A5"/>
    <w:rsid w:val="00F87B78"/>
    <w:rsid w:val="00F90438"/>
    <w:rsid w:val="00F905D5"/>
    <w:rsid w:val="00F906E5"/>
    <w:rsid w:val="00F91183"/>
    <w:rsid w:val="00F91B54"/>
    <w:rsid w:val="00F91C02"/>
    <w:rsid w:val="00F91E29"/>
    <w:rsid w:val="00F9228C"/>
    <w:rsid w:val="00F925C7"/>
    <w:rsid w:val="00F92BFB"/>
    <w:rsid w:val="00F92E22"/>
    <w:rsid w:val="00F93912"/>
    <w:rsid w:val="00F93F62"/>
    <w:rsid w:val="00F94377"/>
    <w:rsid w:val="00F94687"/>
    <w:rsid w:val="00F947C7"/>
    <w:rsid w:val="00F94B2B"/>
    <w:rsid w:val="00F94C3D"/>
    <w:rsid w:val="00F94E57"/>
    <w:rsid w:val="00F95913"/>
    <w:rsid w:val="00F95984"/>
    <w:rsid w:val="00F95DC9"/>
    <w:rsid w:val="00F96443"/>
    <w:rsid w:val="00F96763"/>
    <w:rsid w:val="00F967F6"/>
    <w:rsid w:val="00F969CE"/>
    <w:rsid w:val="00F96F9D"/>
    <w:rsid w:val="00F9717A"/>
    <w:rsid w:val="00F972BF"/>
    <w:rsid w:val="00F97348"/>
    <w:rsid w:val="00F9741B"/>
    <w:rsid w:val="00F9758C"/>
    <w:rsid w:val="00F977B5"/>
    <w:rsid w:val="00F97DFC"/>
    <w:rsid w:val="00FA03D8"/>
    <w:rsid w:val="00FA123D"/>
    <w:rsid w:val="00FA209F"/>
    <w:rsid w:val="00FA25F4"/>
    <w:rsid w:val="00FA2B6E"/>
    <w:rsid w:val="00FA2E25"/>
    <w:rsid w:val="00FA3723"/>
    <w:rsid w:val="00FA406B"/>
    <w:rsid w:val="00FA42DE"/>
    <w:rsid w:val="00FA49EC"/>
    <w:rsid w:val="00FA4EF8"/>
    <w:rsid w:val="00FA501A"/>
    <w:rsid w:val="00FA5131"/>
    <w:rsid w:val="00FA53F2"/>
    <w:rsid w:val="00FA554E"/>
    <w:rsid w:val="00FA59FA"/>
    <w:rsid w:val="00FA5A87"/>
    <w:rsid w:val="00FA627A"/>
    <w:rsid w:val="00FA6377"/>
    <w:rsid w:val="00FA6432"/>
    <w:rsid w:val="00FA6653"/>
    <w:rsid w:val="00FA6A15"/>
    <w:rsid w:val="00FA6F1B"/>
    <w:rsid w:val="00FA6FA5"/>
    <w:rsid w:val="00FA7537"/>
    <w:rsid w:val="00FA767A"/>
    <w:rsid w:val="00FA7A64"/>
    <w:rsid w:val="00FB0093"/>
    <w:rsid w:val="00FB01CF"/>
    <w:rsid w:val="00FB0402"/>
    <w:rsid w:val="00FB061E"/>
    <w:rsid w:val="00FB0D0D"/>
    <w:rsid w:val="00FB167A"/>
    <w:rsid w:val="00FB1712"/>
    <w:rsid w:val="00FB1A5C"/>
    <w:rsid w:val="00FB2276"/>
    <w:rsid w:val="00FB2878"/>
    <w:rsid w:val="00FB29C8"/>
    <w:rsid w:val="00FB2D35"/>
    <w:rsid w:val="00FB32F2"/>
    <w:rsid w:val="00FB348D"/>
    <w:rsid w:val="00FB3A00"/>
    <w:rsid w:val="00FB3DE1"/>
    <w:rsid w:val="00FB40DE"/>
    <w:rsid w:val="00FB4247"/>
    <w:rsid w:val="00FB42BA"/>
    <w:rsid w:val="00FB44B5"/>
    <w:rsid w:val="00FB4512"/>
    <w:rsid w:val="00FB45E8"/>
    <w:rsid w:val="00FB4D1C"/>
    <w:rsid w:val="00FB4F56"/>
    <w:rsid w:val="00FB51DD"/>
    <w:rsid w:val="00FB5527"/>
    <w:rsid w:val="00FB649A"/>
    <w:rsid w:val="00FB67FA"/>
    <w:rsid w:val="00FB6B9D"/>
    <w:rsid w:val="00FB7014"/>
    <w:rsid w:val="00FB76C0"/>
    <w:rsid w:val="00FB7798"/>
    <w:rsid w:val="00FB7BDE"/>
    <w:rsid w:val="00FC011A"/>
    <w:rsid w:val="00FC043D"/>
    <w:rsid w:val="00FC0A4E"/>
    <w:rsid w:val="00FC0AF3"/>
    <w:rsid w:val="00FC0EC7"/>
    <w:rsid w:val="00FC11A4"/>
    <w:rsid w:val="00FC19DC"/>
    <w:rsid w:val="00FC1AA6"/>
    <w:rsid w:val="00FC1DA5"/>
    <w:rsid w:val="00FC20B1"/>
    <w:rsid w:val="00FC2B49"/>
    <w:rsid w:val="00FC2C15"/>
    <w:rsid w:val="00FC2FA2"/>
    <w:rsid w:val="00FC4D63"/>
    <w:rsid w:val="00FC4FBC"/>
    <w:rsid w:val="00FC4FF1"/>
    <w:rsid w:val="00FC50EA"/>
    <w:rsid w:val="00FC5433"/>
    <w:rsid w:val="00FC580B"/>
    <w:rsid w:val="00FC58F5"/>
    <w:rsid w:val="00FC5A9C"/>
    <w:rsid w:val="00FC6D92"/>
    <w:rsid w:val="00FC6E74"/>
    <w:rsid w:val="00FC702A"/>
    <w:rsid w:val="00FC7D5D"/>
    <w:rsid w:val="00FD00B4"/>
    <w:rsid w:val="00FD0875"/>
    <w:rsid w:val="00FD087A"/>
    <w:rsid w:val="00FD0883"/>
    <w:rsid w:val="00FD0A8E"/>
    <w:rsid w:val="00FD0DCE"/>
    <w:rsid w:val="00FD114F"/>
    <w:rsid w:val="00FD1477"/>
    <w:rsid w:val="00FD2516"/>
    <w:rsid w:val="00FD2535"/>
    <w:rsid w:val="00FD32AD"/>
    <w:rsid w:val="00FD35BA"/>
    <w:rsid w:val="00FD35BF"/>
    <w:rsid w:val="00FD3770"/>
    <w:rsid w:val="00FD4448"/>
    <w:rsid w:val="00FD4503"/>
    <w:rsid w:val="00FD4805"/>
    <w:rsid w:val="00FD4DA5"/>
    <w:rsid w:val="00FD51CF"/>
    <w:rsid w:val="00FD5B6B"/>
    <w:rsid w:val="00FD68AA"/>
    <w:rsid w:val="00FD6D49"/>
    <w:rsid w:val="00FD75E2"/>
    <w:rsid w:val="00FD7FEB"/>
    <w:rsid w:val="00FE0037"/>
    <w:rsid w:val="00FE003D"/>
    <w:rsid w:val="00FE01E7"/>
    <w:rsid w:val="00FE0386"/>
    <w:rsid w:val="00FE0DE9"/>
    <w:rsid w:val="00FE1135"/>
    <w:rsid w:val="00FE1250"/>
    <w:rsid w:val="00FE16E3"/>
    <w:rsid w:val="00FE19A4"/>
    <w:rsid w:val="00FE19BE"/>
    <w:rsid w:val="00FE1A31"/>
    <w:rsid w:val="00FE1BB6"/>
    <w:rsid w:val="00FE1C26"/>
    <w:rsid w:val="00FE24A4"/>
    <w:rsid w:val="00FE257D"/>
    <w:rsid w:val="00FE2694"/>
    <w:rsid w:val="00FE2D00"/>
    <w:rsid w:val="00FE2D0B"/>
    <w:rsid w:val="00FE34EE"/>
    <w:rsid w:val="00FE3541"/>
    <w:rsid w:val="00FE35C5"/>
    <w:rsid w:val="00FE3E9E"/>
    <w:rsid w:val="00FE3EF6"/>
    <w:rsid w:val="00FE4098"/>
    <w:rsid w:val="00FE478F"/>
    <w:rsid w:val="00FE5084"/>
    <w:rsid w:val="00FE5094"/>
    <w:rsid w:val="00FE50DA"/>
    <w:rsid w:val="00FE5821"/>
    <w:rsid w:val="00FE67C2"/>
    <w:rsid w:val="00FE6A32"/>
    <w:rsid w:val="00FE70B7"/>
    <w:rsid w:val="00FE7655"/>
    <w:rsid w:val="00FE76CA"/>
    <w:rsid w:val="00FE76E0"/>
    <w:rsid w:val="00FF0101"/>
    <w:rsid w:val="00FF0A3B"/>
    <w:rsid w:val="00FF0ECC"/>
    <w:rsid w:val="00FF13E2"/>
    <w:rsid w:val="00FF1939"/>
    <w:rsid w:val="00FF25C9"/>
    <w:rsid w:val="00FF28F3"/>
    <w:rsid w:val="00FF2A75"/>
    <w:rsid w:val="00FF2CBD"/>
    <w:rsid w:val="00FF310B"/>
    <w:rsid w:val="00FF3293"/>
    <w:rsid w:val="00FF3403"/>
    <w:rsid w:val="00FF383F"/>
    <w:rsid w:val="00FF3BDC"/>
    <w:rsid w:val="00FF3E0D"/>
    <w:rsid w:val="00FF3EC6"/>
    <w:rsid w:val="00FF3F69"/>
    <w:rsid w:val="00FF4C42"/>
    <w:rsid w:val="00FF4D55"/>
    <w:rsid w:val="00FF4F24"/>
    <w:rsid w:val="00FF51A2"/>
    <w:rsid w:val="00FF5860"/>
    <w:rsid w:val="00FF5866"/>
    <w:rsid w:val="00FF58F1"/>
    <w:rsid w:val="00FF5A31"/>
    <w:rsid w:val="00FF6174"/>
    <w:rsid w:val="00FF6616"/>
    <w:rsid w:val="00FF66EE"/>
    <w:rsid w:val="00FF7399"/>
    <w:rsid w:val="00FF7716"/>
    <w:rsid w:val="00FF7D40"/>
    <w:rsid w:val="00FF7D6D"/>
    <w:rsid w:val="012EBE4C"/>
    <w:rsid w:val="0167DCF8"/>
    <w:rsid w:val="0183C98D"/>
    <w:rsid w:val="01D9781C"/>
    <w:rsid w:val="0231546B"/>
    <w:rsid w:val="0265A4A1"/>
    <w:rsid w:val="027D3DE6"/>
    <w:rsid w:val="0455FB8C"/>
    <w:rsid w:val="0516CAF4"/>
    <w:rsid w:val="0646A2FD"/>
    <w:rsid w:val="06A20EA0"/>
    <w:rsid w:val="06B2604C"/>
    <w:rsid w:val="0712907A"/>
    <w:rsid w:val="0782BB69"/>
    <w:rsid w:val="07DFF917"/>
    <w:rsid w:val="08264F80"/>
    <w:rsid w:val="08474B82"/>
    <w:rsid w:val="09223BAC"/>
    <w:rsid w:val="096AF943"/>
    <w:rsid w:val="0A7F47B5"/>
    <w:rsid w:val="0AB8083D"/>
    <w:rsid w:val="0CCC050A"/>
    <w:rsid w:val="0D0A5CF7"/>
    <w:rsid w:val="0D64B1F4"/>
    <w:rsid w:val="0DF05CDC"/>
    <w:rsid w:val="0E455C97"/>
    <w:rsid w:val="1053E2A0"/>
    <w:rsid w:val="10BA329C"/>
    <w:rsid w:val="125E070F"/>
    <w:rsid w:val="13E8A581"/>
    <w:rsid w:val="1474FEC5"/>
    <w:rsid w:val="148F7AFD"/>
    <w:rsid w:val="149AE29B"/>
    <w:rsid w:val="14D79C21"/>
    <w:rsid w:val="14E7A3DA"/>
    <w:rsid w:val="15780006"/>
    <w:rsid w:val="18448973"/>
    <w:rsid w:val="189399AC"/>
    <w:rsid w:val="18CC0022"/>
    <w:rsid w:val="1A1AED48"/>
    <w:rsid w:val="1A607A73"/>
    <w:rsid w:val="1B45E939"/>
    <w:rsid w:val="1BB6FF9B"/>
    <w:rsid w:val="1BF9807A"/>
    <w:rsid w:val="1D88B3DE"/>
    <w:rsid w:val="1E923DAB"/>
    <w:rsid w:val="1E96C56C"/>
    <w:rsid w:val="1F5CD750"/>
    <w:rsid w:val="20419A2E"/>
    <w:rsid w:val="2141C6CC"/>
    <w:rsid w:val="21845EAE"/>
    <w:rsid w:val="2227F62A"/>
    <w:rsid w:val="2265C943"/>
    <w:rsid w:val="22F46A6C"/>
    <w:rsid w:val="23362AF6"/>
    <w:rsid w:val="235842FA"/>
    <w:rsid w:val="23AE01EC"/>
    <w:rsid w:val="247BD7B6"/>
    <w:rsid w:val="247CAFA4"/>
    <w:rsid w:val="24BF2C3F"/>
    <w:rsid w:val="2539D9C6"/>
    <w:rsid w:val="25410012"/>
    <w:rsid w:val="2631FB08"/>
    <w:rsid w:val="267ECA15"/>
    <w:rsid w:val="2757B946"/>
    <w:rsid w:val="27648D02"/>
    <w:rsid w:val="279AEB98"/>
    <w:rsid w:val="27F2BB71"/>
    <w:rsid w:val="2910F739"/>
    <w:rsid w:val="2AEA5A40"/>
    <w:rsid w:val="2B7C26B8"/>
    <w:rsid w:val="2BA27DB1"/>
    <w:rsid w:val="2BFE93E7"/>
    <w:rsid w:val="2D24812B"/>
    <w:rsid w:val="2E2428D2"/>
    <w:rsid w:val="2E750270"/>
    <w:rsid w:val="2F413E6A"/>
    <w:rsid w:val="2FC9684F"/>
    <w:rsid w:val="30799BA8"/>
    <w:rsid w:val="321E81BC"/>
    <w:rsid w:val="324CBD7B"/>
    <w:rsid w:val="325D0491"/>
    <w:rsid w:val="32F33DBA"/>
    <w:rsid w:val="343DA535"/>
    <w:rsid w:val="35413E1E"/>
    <w:rsid w:val="35D5306B"/>
    <w:rsid w:val="35E01A78"/>
    <w:rsid w:val="3683C4F8"/>
    <w:rsid w:val="368CB972"/>
    <w:rsid w:val="37750696"/>
    <w:rsid w:val="379C9CC9"/>
    <w:rsid w:val="37CB35FC"/>
    <w:rsid w:val="38BB196B"/>
    <w:rsid w:val="3CAEA897"/>
    <w:rsid w:val="3F33FCEF"/>
    <w:rsid w:val="411F5519"/>
    <w:rsid w:val="417AECA0"/>
    <w:rsid w:val="424691B2"/>
    <w:rsid w:val="43003286"/>
    <w:rsid w:val="4326BC81"/>
    <w:rsid w:val="43B97B32"/>
    <w:rsid w:val="441583CB"/>
    <w:rsid w:val="4491B786"/>
    <w:rsid w:val="4531349E"/>
    <w:rsid w:val="45B91FF0"/>
    <w:rsid w:val="462A6214"/>
    <w:rsid w:val="479CA01A"/>
    <w:rsid w:val="4A0975EA"/>
    <w:rsid w:val="4A809C9C"/>
    <w:rsid w:val="4B76543B"/>
    <w:rsid w:val="4BDB8862"/>
    <w:rsid w:val="4D922942"/>
    <w:rsid w:val="4E89F014"/>
    <w:rsid w:val="4ED3DC16"/>
    <w:rsid w:val="4FEB3474"/>
    <w:rsid w:val="517127F9"/>
    <w:rsid w:val="517DBC27"/>
    <w:rsid w:val="51961A9C"/>
    <w:rsid w:val="51A102A2"/>
    <w:rsid w:val="554491E5"/>
    <w:rsid w:val="556D7057"/>
    <w:rsid w:val="55CA35C5"/>
    <w:rsid w:val="563B4976"/>
    <w:rsid w:val="56EA3519"/>
    <w:rsid w:val="5722D4B0"/>
    <w:rsid w:val="57B19C2C"/>
    <w:rsid w:val="57D5D37D"/>
    <w:rsid w:val="5813FE29"/>
    <w:rsid w:val="58B3AF45"/>
    <w:rsid w:val="58D8D1C3"/>
    <w:rsid w:val="5905C9D4"/>
    <w:rsid w:val="5987E478"/>
    <w:rsid w:val="59D4298E"/>
    <w:rsid w:val="5AB0FEC4"/>
    <w:rsid w:val="5C663050"/>
    <w:rsid w:val="5CDD6ABE"/>
    <w:rsid w:val="5DC423FC"/>
    <w:rsid w:val="5E4D0242"/>
    <w:rsid w:val="5EA4A493"/>
    <w:rsid w:val="5EAF1CD1"/>
    <w:rsid w:val="601337C7"/>
    <w:rsid w:val="613ABE11"/>
    <w:rsid w:val="614D3F52"/>
    <w:rsid w:val="6194DA88"/>
    <w:rsid w:val="62A39AD8"/>
    <w:rsid w:val="62C384D5"/>
    <w:rsid w:val="63D8CCAA"/>
    <w:rsid w:val="640B79E0"/>
    <w:rsid w:val="643E1CAE"/>
    <w:rsid w:val="647C018D"/>
    <w:rsid w:val="658D3678"/>
    <w:rsid w:val="65C2BBEC"/>
    <w:rsid w:val="65FA9335"/>
    <w:rsid w:val="685053C5"/>
    <w:rsid w:val="6923B281"/>
    <w:rsid w:val="69DEDAF7"/>
    <w:rsid w:val="6BE969EB"/>
    <w:rsid w:val="6C83250D"/>
    <w:rsid w:val="6CDEC20E"/>
    <w:rsid w:val="6D2A1407"/>
    <w:rsid w:val="6D51CCE8"/>
    <w:rsid w:val="6E9D2CF2"/>
    <w:rsid w:val="6EE58131"/>
    <w:rsid w:val="6FE4D57D"/>
    <w:rsid w:val="7083A7BE"/>
    <w:rsid w:val="71CC3196"/>
    <w:rsid w:val="72F8BB8A"/>
    <w:rsid w:val="7412DBB1"/>
    <w:rsid w:val="7496ECB7"/>
    <w:rsid w:val="74D6CED5"/>
    <w:rsid w:val="752BC445"/>
    <w:rsid w:val="763AD47E"/>
    <w:rsid w:val="76D41B95"/>
    <w:rsid w:val="76FD16AC"/>
    <w:rsid w:val="77314594"/>
    <w:rsid w:val="773622F7"/>
    <w:rsid w:val="775E5A6B"/>
    <w:rsid w:val="780BD936"/>
    <w:rsid w:val="787E1E9A"/>
    <w:rsid w:val="78FEB45E"/>
    <w:rsid w:val="79901B4A"/>
    <w:rsid w:val="79DD3FB5"/>
    <w:rsid w:val="7A21880B"/>
    <w:rsid w:val="7AF32778"/>
    <w:rsid w:val="7AF6A7D6"/>
    <w:rsid w:val="7B02D20E"/>
    <w:rsid w:val="7CC67359"/>
    <w:rsid w:val="7CE9FA94"/>
    <w:rsid w:val="7DFBE4D6"/>
    <w:rsid w:val="7E81FACD"/>
    <w:rsid w:val="7E935E22"/>
    <w:rsid w:val="7EB52FB2"/>
    <w:rsid w:val="7EDA79F7"/>
    <w:rsid w:val="7FC5EE6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FC0AF3"/>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FC0AF3"/>
    <w:rPr>
      <w:sz w:val="20"/>
    </w:rPr>
  </w:style>
  <w:style w:type="character" w:styleId="CommentReference">
    <w:name w:val="annotation reference"/>
    <w:basedOn w:val="DefaultParagraphFont"/>
    <w:uiPriority w:val="99"/>
    <w:semiHidden/>
    <w:unhideWhenUsed/>
    <w:locked/>
    <w:rsid w:val="00FC0AF3"/>
    <w:rPr>
      <w:sz w:val="16"/>
      <w:szCs w:val="16"/>
    </w:rPr>
  </w:style>
  <w:style w:type="paragraph" w:styleId="CommentText">
    <w:name w:val="annotation text"/>
    <w:basedOn w:val="Normal"/>
    <w:link w:val="CommentTextChar"/>
    <w:uiPriority w:val="99"/>
    <w:unhideWhenUsed/>
    <w:locked/>
    <w:rsid w:val="00FC0AF3"/>
    <w:rPr>
      <w:rFonts w:eastAsiaTheme="minorHAnsi" w:cstheme="minorBidi"/>
      <w:sz w:val="20"/>
      <w:lang w:eastAsia="en-US"/>
    </w:rPr>
  </w:style>
  <w:style w:type="character" w:customStyle="1" w:styleId="CommentTextChar">
    <w:name w:val="Comment Text Char"/>
    <w:basedOn w:val="DefaultParagraphFont"/>
    <w:link w:val="CommentText"/>
    <w:uiPriority w:val="99"/>
    <w:rsid w:val="00FC0AF3"/>
    <w:rPr>
      <w:rFonts w:eastAsiaTheme="minorHAnsi" w:cstheme="minorBidi"/>
      <w:sz w:val="20"/>
      <w:lang w:eastAsia="en-US"/>
    </w:rPr>
  </w:style>
  <w:style w:type="character" w:styleId="FootnoteReference">
    <w:name w:val="footnote reference"/>
    <w:aliases w:val="ftref Char Char Char Char Char Char Char Char Char Char,Footnote Char Char Char Char Char Char Char Char Char Char,BVI fnr Char Char Char Char Char Char Char Char Char Char1,BVI fnr Char Char Char Char Char Char Char Char Char Char Ch"/>
    <w:basedOn w:val="DefaultParagraphFont"/>
    <w:link w:val="ftrefCharCharCharCharCharCharCharCharChar"/>
    <w:uiPriority w:val="99"/>
    <w:unhideWhenUsed/>
    <w:qFormat/>
    <w:locked/>
    <w:rsid w:val="00FC0AF3"/>
    <w:rPr>
      <w:vertAlign w:val="superscript"/>
    </w:rPr>
  </w:style>
  <w:style w:type="character" w:customStyle="1" w:styleId="TitleChar">
    <w:name w:val="Title Char"/>
    <w:basedOn w:val="DefaultParagraphFont"/>
    <w:link w:val="Title"/>
    <w:uiPriority w:val="10"/>
    <w:rsid w:val="00FC0AF3"/>
    <w:rPr>
      <w:b/>
      <w:kern w:val="28"/>
      <w:sz w:val="48"/>
    </w:rPr>
  </w:style>
  <w:style w:type="table" w:styleId="GridTable7Colorful-Accent6">
    <w:name w:val="Grid Table 7 Colorful Accent 6"/>
    <w:basedOn w:val="TableNormal"/>
    <w:uiPriority w:val="52"/>
    <w:locked/>
    <w:rsid w:val="00FC0AF3"/>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FC0AF3"/>
    <w:rPr>
      <w:b/>
      <w:smallCaps/>
    </w:rPr>
  </w:style>
  <w:style w:type="character" w:customStyle="1" w:styleId="Heading2Char">
    <w:name w:val="Heading 2 Char"/>
    <w:basedOn w:val="DefaultParagraphFont"/>
    <w:link w:val="Heading2"/>
    <w:uiPriority w:val="9"/>
    <w:rsid w:val="00FC0AF3"/>
    <w:rPr>
      <w:b/>
    </w:rPr>
  </w:style>
  <w:style w:type="character" w:customStyle="1" w:styleId="Heading3Char">
    <w:name w:val="Heading 3 Char"/>
    <w:basedOn w:val="DefaultParagraphFont"/>
    <w:link w:val="Heading3"/>
    <w:uiPriority w:val="9"/>
    <w:rsid w:val="00FC0AF3"/>
    <w:rPr>
      <w:i/>
    </w:rPr>
  </w:style>
  <w:style w:type="character" w:customStyle="1" w:styleId="Heading4Char">
    <w:name w:val="Heading 4 Char"/>
    <w:basedOn w:val="DefaultParagraphFont"/>
    <w:link w:val="Heading4"/>
    <w:uiPriority w:val="9"/>
    <w:rsid w:val="00FC0AF3"/>
  </w:style>
  <w:style w:type="character" w:customStyle="1" w:styleId="Heading5Char">
    <w:name w:val="Heading 5 Char"/>
    <w:basedOn w:val="DefaultParagraphFont"/>
    <w:link w:val="Heading5"/>
    <w:uiPriority w:val="9"/>
    <w:semiHidden/>
    <w:rsid w:val="00FC0AF3"/>
  </w:style>
  <w:style w:type="character" w:customStyle="1" w:styleId="Heading6Char">
    <w:name w:val="Heading 6 Char"/>
    <w:basedOn w:val="DefaultParagraphFont"/>
    <w:link w:val="Heading6"/>
    <w:uiPriority w:val="9"/>
    <w:semiHidden/>
    <w:rsid w:val="00FC0AF3"/>
  </w:style>
  <w:style w:type="character" w:customStyle="1" w:styleId="Heading7Char">
    <w:name w:val="Heading 7 Char"/>
    <w:basedOn w:val="DefaultParagraphFont"/>
    <w:link w:val="Heading7"/>
    <w:uiPriority w:val="9"/>
    <w:semiHidden/>
    <w:rsid w:val="00FC0AF3"/>
  </w:style>
  <w:style w:type="character" w:customStyle="1" w:styleId="Heading8Char">
    <w:name w:val="Heading 8 Char"/>
    <w:basedOn w:val="DefaultParagraphFont"/>
    <w:link w:val="Heading8"/>
    <w:uiPriority w:val="9"/>
    <w:semiHidden/>
    <w:rsid w:val="00FC0AF3"/>
  </w:style>
  <w:style w:type="character" w:customStyle="1" w:styleId="Heading9Char">
    <w:name w:val="Heading 9 Char"/>
    <w:basedOn w:val="DefaultParagraphFont"/>
    <w:link w:val="Heading9"/>
    <w:uiPriority w:val="9"/>
    <w:semiHidden/>
    <w:rsid w:val="00FC0AF3"/>
  </w:style>
  <w:style w:type="paragraph" w:customStyle="1" w:styleId="FootnoteRoLReport">
    <w:name w:val="Footnote RoL Report"/>
    <w:basedOn w:val="FootnoteText"/>
    <w:link w:val="FootnoteRoLReportChar"/>
    <w:autoRedefine/>
    <w:qFormat/>
    <w:rsid w:val="00FC0AF3"/>
    <w:pPr>
      <w:ind w:left="284" w:hanging="284"/>
      <w:outlineLvl w:val="0"/>
    </w:pPr>
    <w:rPr>
      <w:rFonts w:eastAsiaTheme="minorHAnsi" w:cstheme="minorBidi"/>
      <w:lang w:eastAsia="en-US"/>
    </w:rPr>
  </w:style>
  <w:style w:type="character" w:customStyle="1" w:styleId="FootnoteRoLReportChar">
    <w:name w:val="Footnote RoL Report Char"/>
    <w:basedOn w:val="FootnoteTextChar"/>
    <w:link w:val="FootnoteRoLReport"/>
    <w:rsid w:val="00FC0AF3"/>
    <w:rPr>
      <w:rFonts w:eastAsiaTheme="minorHAnsi" w:cstheme="minorBidi"/>
      <w:sz w:val="20"/>
      <w:lang w:eastAsia="en-US"/>
    </w:rPr>
  </w:style>
  <w:style w:type="paragraph" w:styleId="ListParagraph">
    <w:name w:val="List Paragraph"/>
    <w:basedOn w:val="Normal"/>
    <w:link w:val="ListParagraphChar"/>
    <w:uiPriority w:val="34"/>
    <w:qFormat/>
    <w:locked/>
    <w:rsid w:val="00FC0AF3"/>
    <w:pPr>
      <w:ind w:left="720"/>
      <w:contextualSpacing/>
    </w:pPr>
    <w:rPr>
      <w:rFonts w:eastAsiaTheme="minorHAnsi" w:cstheme="minorBidi"/>
      <w:szCs w:val="22"/>
      <w:lang w:eastAsia="en-US"/>
    </w:rPr>
  </w:style>
  <w:style w:type="character" w:styleId="Hyperlink">
    <w:name w:val="Hyperlink"/>
    <w:basedOn w:val="DefaultParagraphFont"/>
    <w:uiPriority w:val="99"/>
    <w:unhideWhenUsed/>
    <w:locked/>
    <w:rsid w:val="00FC0AF3"/>
    <w:rPr>
      <w:color w:val="0563C1" w:themeColor="hyperlink"/>
      <w:u w:val="single"/>
    </w:rPr>
  </w:style>
  <w:style w:type="character" w:customStyle="1" w:styleId="UnresolvedMention">
    <w:name w:val="Unresolved Mention"/>
    <w:basedOn w:val="DefaultParagraphFont"/>
    <w:uiPriority w:val="99"/>
    <w:semiHidden/>
    <w:unhideWhenUsed/>
    <w:rsid w:val="00FC0AF3"/>
    <w:rPr>
      <w:color w:val="605E5C"/>
      <w:shd w:val="clear" w:color="auto" w:fill="E1DFDD"/>
    </w:rPr>
  </w:style>
  <w:style w:type="paragraph" w:styleId="CommentSubject">
    <w:name w:val="annotation subject"/>
    <w:basedOn w:val="CommentText"/>
    <w:next w:val="CommentText"/>
    <w:link w:val="CommentSubjectChar"/>
    <w:uiPriority w:val="99"/>
    <w:semiHidden/>
    <w:unhideWhenUsed/>
    <w:locked/>
    <w:rsid w:val="00FC0AF3"/>
    <w:rPr>
      <w:b/>
      <w:bCs/>
    </w:rPr>
  </w:style>
  <w:style w:type="character" w:customStyle="1" w:styleId="CommentSubjectChar">
    <w:name w:val="Comment Subject Char"/>
    <w:basedOn w:val="CommentTextChar"/>
    <w:link w:val="CommentSubject"/>
    <w:uiPriority w:val="99"/>
    <w:semiHidden/>
    <w:rsid w:val="00FC0AF3"/>
    <w:rPr>
      <w:rFonts w:eastAsiaTheme="minorHAnsi" w:cstheme="minorBidi"/>
      <w:b/>
      <w:bCs/>
      <w:sz w:val="20"/>
      <w:lang w:eastAsia="en-U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FC0AF3"/>
    <w:pPr>
      <w:spacing w:after="160" w:line="240" w:lineRule="exact"/>
    </w:pPr>
    <w:rPr>
      <w:vertAlign w:val="superscript"/>
    </w:rPr>
  </w:style>
  <w:style w:type="character" w:customStyle="1" w:styleId="Mention">
    <w:name w:val="Mention"/>
    <w:basedOn w:val="DefaultParagraphFont"/>
    <w:uiPriority w:val="99"/>
    <w:unhideWhenUsed/>
    <w:rsid w:val="00FC0AF3"/>
    <w:rPr>
      <w:color w:val="2B579A"/>
      <w:shd w:val="clear" w:color="auto" w:fill="E1DFDD"/>
    </w:rPr>
  </w:style>
  <w:style w:type="paragraph" w:styleId="Revision">
    <w:name w:val="Revision"/>
    <w:hidden/>
    <w:uiPriority w:val="99"/>
    <w:semiHidden/>
    <w:locked/>
    <w:rsid w:val="00FC0AF3"/>
    <w:rPr>
      <w:rFonts w:eastAsiaTheme="minorHAnsi" w:cstheme="minorBidi"/>
      <w:szCs w:val="22"/>
      <w:lang w:eastAsia="en-US"/>
    </w:rPr>
  </w:style>
  <w:style w:type="character" w:styleId="FollowedHyperlink">
    <w:name w:val="FollowedHyperlink"/>
    <w:basedOn w:val="DefaultParagraphFont"/>
    <w:uiPriority w:val="99"/>
    <w:semiHidden/>
    <w:unhideWhenUsed/>
    <w:locked/>
    <w:rsid w:val="00FC0AF3"/>
    <w:rPr>
      <w:color w:val="954F72" w:themeColor="followedHyperlink"/>
      <w:u w:val="single"/>
    </w:rPr>
  </w:style>
  <w:style w:type="character" w:customStyle="1" w:styleId="FootnoteTextChar1">
    <w:name w:val="Footnote Text Char1"/>
    <w:basedOn w:val="DefaultParagraphFont"/>
    <w:uiPriority w:val="99"/>
    <w:semiHidden/>
    <w:rsid w:val="00FC0AF3"/>
    <w:rPr>
      <w:sz w:val="20"/>
      <w:szCs w:val="20"/>
    </w:rPr>
  </w:style>
  <w:style w:type="character" w:customStyle="1" w:styleId="Bodytext1">
    <w:name w:val="Body text|1_"/>
    <w:basedOn w:val="DefaultParagraphFont"/>
    <w:link w:val="Bodytext10"/>
    <w:rsid w:val="008A50BB"/>
    <w:rPr>
      <w:color w:val="303030"/>
      <w:sz w:val="22"/>
      <w:szCs w:val="22"/>
    </w:rPr>
  </w:style>
  <w:style w:type="paragraph" w:customStyle="1" w:styleId="Bodytext10">
    <w:name w:val="Body text|1"/>
    <w:basedOn w:val="Normal"/>
    <w:link w:val="Bodytext1"/>
    <w:rsid w:val="008A50BB"/>
    <w:pPr>
      <w:widowControl w:val="0"/>
      <w:spacing w:after="220" w:line="264" w:lineRule="auto"/>
      <w:jc w:val="left"/>
    </w:pPr>
    <w:rPr>
      <w:color w:val="303030"/>
      <w:sz w:val="22"/>
      <w:szCs w:val="22"/>
    </w:rPr>
  </w:style>
  <w:style w:type="character" w:customStyle="1" w:styleId="ListParagraphChar">
    <w:name w:val="List Paragraph Char"/>
    <w:basedOn w:val="DefaultParagraphFont"/>
    <w:link w:val="ListParagraph"/>
    <w:uiPriority w:val="34"/>
    <w:rsid w:val="001F1AC5"/>
    <w:rPr>
      <w:rFonts w:eastAsiaTheme="minorHAnsi"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413619">
      <w:bodyDiv w:val="1"/>
      <w:marLeft w:val="0"/>
      <w:marRight w:val="0"/>
      <w:marTop w:val="0"/>
      <w:marBottom w:val="0"/>
      <w:divBdr>
        <w:top w:val="none" w:sz="0" w:space="0" w:color="auto"/>
        <w:left w:val="none" w:sz="0" w:space="0" w:color="auto"/>
        <w:bottom w:val="none" w:sz="0" w:space="0" w:color="auto"/>
        <w:right w:val="none" w:sz="0" w:space="0" w:color="auto"/>
      </w:divBdr>
    </w:div>
    <w:div w:id="1007487070">
      <w:bodyDiv w:val="1"/>
      <w:marLeft w:val="0"/>
      <w:marRight w:val="0"/>
      <w:marTop w:val="0"/>
      <w:marBottom w:val="0"/>
      <w:divBdr>
        <w:top w:val="none" w:sz="0" w:space="0" w:color="auto"/>
        <w:left w:val="none" w:sz="0" w:space="0" w:color="auto"/>
        <w:bottom w:val="none" w:sz="0" w:space="0" w:color="auto"/>
        <w:right w:val="none" w:sz="0" w:space="0" w:color="auto"/>
      </w:divBdr>
    </w:div>
    <w:div w:id="1043990430">
      <w:bodyDiv w:val="1"/>
      <w:marLeft w:val="0"/>
      <w:marRight w:val="0"/>
      <w:marTop w:val="0"/>
      <w:marBottom w:val="0"/>
      <w:divBdr>
        <w:top w:val="none" w:sz="0" w:space="0" w:color="auto"/>
        <w:left w:val="none" w:sz="0" w:space="0" w:color="auto"/>
        <w:bottom w:val="none" w:sz="0" w:space="0" w:color="auto"/>
        <w:right w:val="none" w:sz="0" w:space="0" w:color="auto"/>
      </w:divBdr>
    </w:div>
    <w:div w:id="1585335058">
      <w:bodyDiv w:val="1"/>
      <w:marLeft w:val="0"/>
      <w:marRight w:val="0"/>
      <w:marTop w:val="0"/>
      <w:marBottom w:val="0"/>
      <w:divBdr>
        <w:top w:val="none" w:sz="0" w:space="0" w:color="auto"/>
        <w:left w:val="none" w:sz="0" w:space="0" w:color="auto"/>
        <w:bottom w:val="none" w:sz="0" w:space="0" w:color="auto"/>
        <w:right w:val="none" w:sz="0" w:space="0" w:color="auto"/>
      </w:divBdr>
    </w:div>
    <w:div w:id="1600986747">
      <w:bodyDiv w:val="1"/>
      <w:marLeft w:val="0"/>
      <w:marRight w:val="0"/>
      <w:marTop w:val="0"/>
      <w:marBottom w:val="0"/>
      <w:divBdr>
        <w:top w:val="none" w:sz="0" w:space="0" w:color="auto"/>
        <w:left w:val="none" w:sz="0" w:space="0" w:color="auto"/>
        <w:bottom w:val="none" w:sz="0" w:space="0" w:color="auto"/>
        <w:right w:val="none" w:sz="0" w:space="0" w:color="auto"/>
      </w:divBdr>
    </w:div>
    <w:div w:id="20480963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444.hu/2025/05/21/ujra-kinyilt-a-kormanyzati-penzcsap-ami-kozpenzt-ont-az-allamparthoz-kozel-allo-civil-szervezetekre" TargetMode="External"/><Relationship Id="rId39" Type="http://schemas.openxmlformats.org/officeDocument/2006/relationships/hyperlink" Target="https://www.gvh.hu/pfile/file?path=/gvh/orszaggyulesi_beszamolok/gvh_ogy_pb_2024&amp;inline=true" TargetMode="External"/><Relationship Id="rId21" Type="http://schemas.openxmlformats.org/officeDocument/2006/relationships/footer" Target="footer3.xml"/><Relationship Id="rId34" Type="http://schemas.openxmlformats.org/officeDocument/2006/relationships/hyperlink" Target="https://edmo.eu/publications/unstoppable-political-ads-anti-ukrainian-narratives-and-misleading-stats-in-the-hungarian-election-campaign/" TargetMode="External"/><Relationship Id="rId42" Type="http://schemas.openxmlformats.org/officeDocument/2006/relationships/hyperlink" Target="https://hvg.hu/kkv/20251119_GVH-Nitrogenmuvek-eljaras-Bige-Laszlo" TargetMode="External"/><Relationship Id="rId47" Type="http://schemas.openxmlformats.org/officeDocument/2006/relationships/hyperlink" Target="https://integritashatosag.hu/en/reports/" TargetMode="External"/><Relationship Id="rId50" Type="http://schemas.openxmlformats.org/officeDocument/2006/relationships/hyperlink" Target="https://k.blog.hu/2025/08/22/polt_peter_a_buntethetetlen_trukkozessel_lehetetlenitette_el_az_ugyeszseg_a_felulbiralati_inditvanyu" TargetMode="External"/><Relationship Id="rId55" Type="http://schemas.openxmlformats.org/officeDocument/2006/relationships/hyperlink" Target="https://obt-jud.hu/sites/default/files/ulesek/Jegyzokonyv_2026.02.04.pdf" TargetMode="External"/><Relationship Id="rId63" Type="http://schemas.openxmlformats.org/officeDocument/2006/relationships/hyperlink" Target="https://transparency.hu/wp-content/uploads/2025/03/tenderbajnok_web_elemzes_final.pdf" TargetMode="External"/><Relationship Id="rId68" Type="http://schemas.openxmlformats.org/officeDocument/2006/relationships/header" Target="header5.xml"/><Relationship Id="rId7" Type="http://schemas.openxmlformats.org/officeDocument/2006/relationships/customXml" Target="../customXml/item7.xml"/><Relationship Id="rId71"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kemcs.hu/wp-content/uploads/2025/09/KEMCS_felulvizsgalat_jelentes.pdf" TargetMode="External"/><Relationship Id="rId11" Type="http://schemas.openxmlformats.org/officeDocument/2006/relationships/settings" Target="settings.xml"/><Relationship Id="rId24" Type="http://schemas.openxmlformats.org/officeDocument/2006/relationships/hyperlink" Target="https://24.hu/fn/gazdasag/2025/11/19/homlok-zsolt-meszaros-lorinc-kegyvesztett-ex-veje-felszamolas-csodvedelem-megabirsag/" TargetMode="External"/><Relationship Id="rId32" Type="http://schemas.openxmlformats.org/officeDocument/2006/relationships/hyperlink" Target="https://monitor.civicus.org/country/hungary/" TargetMode="External"/><Relationship Id="rId37" Type="http://schemas.openxmlformats.org/officeDocument/2006/relationships/hyperlink" Target="https://rm.coe.int/fifth-evaluation-round-preventingcorruption-and-promoting-integrity-i/1680ab87f5" TargetMode="External"/><Relationship Id="rId40" Type="http://schemas.openxmlformats.org/officeDocument/2006/relationships/hyperlink" Target="https://hvg.hu/360/20251016_hvg-dpk-alapitvany-Fovarosi-Torvenyszek-gyors-bejegyzes-51-perc-ugyfelerdek" TargetMode="External"/><Relationship Id="rId45" Type="http://schemas.openxmlformats.org/officeDocument/2006/relationships/hyperlink" Target="https://hvg.hu/360/20260224_tisza-applikacio-birono-regisztracio-politikai-tamadas" TargetMode="External"/><Relationship Id="rId53" Type="http://schemas.openxmlformats.org/officeDocument/2006/relationships/hyperlink" Target="https://kuria-birosag.hu/hu/sajto/kuria-elnokenek-kozlemenye-frissitettuk" TargetMode="External"/><Relationship Id="rId58" Type="http://schemas.openxmlformats.org/officeDocument/2006/relationships/hyperlink" Target="https://www.ajbh.hu/en/-/2670755-298" TargetMode="External"/><Relationship Id="rId66" Type="http://schemas.openxmlformats.org/officeDocument/2006/relationships/hyperlink" Target="https://verfassungsblog.de/hungary-judges-leak-list/" TargetMode="External"/><Relationship Id="rId7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24.hu/belfold/2026/06/16/windisch-laszlo-asz-integritas-hatosag-felmentes-breking/" TargetMode="External"/><Relationship Id="rId28" Type="http://schemas.openxmlformats.org/officeDocument/2006/relationships/hyperlink" Target="https://helsinki.hu/en/wp-content/uploads/sites/2/2026/01/HUN_CSO_contribution_EC_RoL_Report_2026.pdf" TargetMode="External"/><Relationship Id="rId36" Type="http://schemas.openxmlformats.org/officeDocument/2006/relationships/hyperlink" Target="https://rm.coe.int/fourth-evaluation-round-corruption-prevention-in-respect-of-membersof/1680a7f171" TargetMode="External"/><Relationship Id="rId49" Type="http://schemas.openxmlformats.org/officeDocument/2006/relationships/hyperlink" Target="https://integritashatosag.hu/wp-content/uploads/2026/06/Eves-elemzo-integritasjelentes-20250630.pdf" TargetMode="External"/><Relationship Id="rId57" Type="http://schemas.openxmlformats.org/officeDocument/2006/relationships/hyperlink" Target="https://www.oecd.org/en/publications/anti-corruption-and-integrity-outlook-2026_0c8910f8-en/hungary_c2686ea4-en.html" TargetMode="External"/><Relationship Id="rId61" Type="http://schemas.openxmlformats.org/officeDocument/2006/relationships/hyperlink" Target="https://telex.hu/belfold/2025/10/22/korozteti-a-buntetes-vegrehajtas-terezvaros-volt-szocialista-alpolgarmesteret-akit-letoltendo-bortonre-iteltek" TargetMode="Externa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cmpf.eui.eu/projects/media-pluralism-monitor/" TargetMode="External"/><Relationship Id="rId44" Type="http://schemas.openxmlformats.org/officeDocument/2006/relationships/hyperlink" Target="https://hvg.hu/itthon/20260130_lazar-janos-megszabaditana-a-tiszas-biroktol-az-igazsagszolgaltatast" TargetMode="External"/><Relationship Id="rId52" Type="http://schemas.openxmlformats.org/officeDocument/2006/relationships/hyperlink" Target="https://kuria-birosag.hu/hu/sajto/kuria-kozlemenye-17" TargetMode="External"/><Relationship Id="rId60" Type="http://schemas.openxmlformats.org/officeDocument/2006/relationships/hyperlink" Target="https://qubit.hu/2025/11/17/egyik-naprol-a-masikratitokban-eltuntettek-12-ev-leleplezo-erteku-dokumentumait-az-ombudsmani-hivatal-honlapjarol" TargetMode="External"/><Relationship Id="rId65" Type="http://schemas.openxmlformats.org/officeDocument/2006/relationships/hyperlink" Target="https://www.venice.coe.int/webforms/documents/default.aspx?pdffile=CDL-AD(2025)028-e"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444.hu/2025/11/23/dontott-a-birosag-nem-ismerhetjuk-meg-a-csadi-misszio-elokeszitesehez-kotodo-szerzodeseket-mert-szijjarto-peter-velemenyet-a-birosag-nem-vizsgalhatja-felul" TargetMode="External"/><Relationship Id="rId30" Type="http://schemas.openxmlformats.org/officeDocument/2006/relationships/hyperlink" Target="https://www.kemcs.hu/wp-content/uploads/2026/03/KEMCS_2025_Eves_Jelentes.pdf" TargetMode="External"/><Relationship Id="rId35" Type="http://schemas.openxmlformats.org/officeDocument/2006/relationships/hyperlink" Target="https://rm.coe.int/third-evaluation-round-second-addendum-to-the-second-compliancereport/168096947e" TargetMode="External"/><Relationship Id="rId43" Type="http://schemas.openxmlformats.org/officeDocument/2006/relationships/hyperlink" Target="https://hvg.hu/kkv/20251209_GVH-versenyjogi-torveny-epitoipari-cegek-feldarabolas" TargetMode="External"/><Relationship Id="rId48" Type="http://schemas.openxmlformats.org/officeDocument/2006/relationships/hyperlink" Target="https://integritashatosag.hu/en/reports/" TargetMode="External"/><Relationship Id="rId56" Type="http://schemas.openxmlformats.org/officeDocument/2006/relationships/hyperlink" Target="https://obt-jud.hu/sites/default/files/ulesek/Jegyzokonyv_2026.01.14.pdf" TargetMode="External"/><Relationship Id="rId64" Type="http://schemas.openxmlformats.org/officeDocument/2006/relationships/hyperlink" Target="https://www.venice.coe.int/webforms/documents/default.aspx?pdffile=CDL-AD(2025)043-e" TargetMode="External"/><Relationship Id="rId69" Type="http://schemas.openxmlformats.org/officeDocument/2006/relationships/footer" Target="footer4.xml"/><Relationship Id="rId8" Type="http://schemas.openxmlformats.org/officeDocument/2006/relationships/customXml" Target="../customXml/item8.xml"/><Relationship Id="rId51" Type="http://schemas.openxmlformats.org/officeDocument/2006/relationships/hyperlink" Target="https://kuria-birosag.hu/hu/sajto/kuria-kozlemenye-19" TargetMode="External"/><Relationship Id="rId72" Type="http://schemas.openxmlformats.org/officeDocument/2006/relationships/footer" Target="footer6.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24.hu/belfold/2025/08/19/integritas-hatosag-biro-ferenc-hivatali-visszaeles-allami-szamvevoszek-ugyeszseg/" TargetMode="External"/><Relationship Id="rId33" Type="http://schemas.openxmlformats.org/officeDocument/2006/relationships/hyperlink" Target="https://www.parlament.hu/irom42/11125/11125.pdf" TargetMode="External"/><Relationship Id="rId38" Type="http://schemas.openxmlformats.org/officeDocument/2006/relationships/hyperlink" Target="https://rm.coe.int/fourth-evaluation-round-corruption-prevention-in-respect-of-membersof/1680ab87f1" TargetMode="External"/><Relationship Id="rId46" Type="http://schemas.openxmlformats.org/officeDocument/2006/relationships/hyperlink" Target="https://integritashatosag.hu/en/reports/" TargetMode="External"/><Relationship Id="rId59" Type="http://schemas.openxmlformats.org/officeDocument/2006/relationships/hyperlink" Target="https://ugyeszseg.hu/en/indictment-filed-against-the-president-of-the-integrity-authority/" TargetMode="External"/><Relationship Id="rId67" Type="http://schemas.openxmlformats.org/officeDocument/2006/relationships/header" Target="header4.xml"/><Relationship Id="rId20" Type="http://schemas.openxmlformats.org/officeDocument/2006/relationships/header" Target="header3.xml"/><Relationship Id="rId41" Type="http://schemas.openxmlformats.org/officeDocument/2006/relationships/hyperlink" Target="https://hvg.hu/360/20250903_levelben-kert-segitseget-a-jegyzohiany-miatt-a-Fovarosi-Torvenyszek-elnoke" TargetMode="External"/><Relationship Id="rId54" Type="http://schemas.openxmlformats.org/officeDocument/2006/relationships/hyperlink" Target="https://obt-jud.hu/sites/default/files/ulesek/Jegyzokonyv_2025.12.03.pdf" TargetMode="External"/><Relationship Id="rId62" Type="http://schemas.openxmlformats.org/officeDocument/2006/relationships/hyperlink" Target="https://transparency.hu/wp-content/uploads/2025/12/Ti-Hu_public_funds_and_private_profits_web-1.pdf" TargetMode="External"/><Relationship Id="rId7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s>
</file>

<file path=word/_rels/footnotes.xml.rels><?xml version="1.0" encoding="UTF-8" standalone="yes"?>
<Relationships xmlns="http://schemas.openxmlformats.org/package/2006/relationships"><Relationship Id="rId3" Type="http://schemas.openxmlformats.org/officeDocument/2006/relationships/hyperlink" Target="https://www.coe.int/en/web/execution/the-supervision-process" TargetMode="External"/><Relationship Id="rId2" Type="http://schemas.openxmlformats.org/officeDocument/2006/relationships/hyperlink" Target="https://kozbeszerzes.hu/adatbazisok/kozerdeku-bejelentesek-nyilvantartasa/"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5.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6.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7.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86BA3-59B1-4BC1-888D-DF1B8A50A8D9}">
  <ds:schemaRefs>
    <ds:schemaRef ds:uri="http://schemas.microsoft.com/sharepoint/v3/contenttype/forms"/>
  </ds:schemaRefs>
</ds:datastoreItem>
</file>

<file path=customXml/itemProps2.xml><?xml version="1.0" encoding="utf-8"?>
<ds:datastoreItem xmlns:ds="http://schemas.openxmlformats.org/officeDocument/2006/customXml" ds:itemID="{0A8530A3-4E45-4C5D-9351-52B9770CB5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1AE39B6-1A28-46BF-BE5A-C6D1E8126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85DEDC53-A93E-4ADB-9EC2-F69334C80BD2}">
  <ds:schemaRefs/>
</ds:datastoreItem>
</file>

<file path=customXml/itemProps6.xml><?xml version="1.0" encoding="utf-8"?>
<ds:datastoreItem xmlns:ds="http://schemas.openxmlformats.org/officeDocument/2006/customXml" ds:itemID="{5799BB7C-547C-4C15-B61E-BE0A69226E01}">
  <ds:schemaRefs/>
</ds:datastoreItem>
</file>

<file path=customXml/itemProps7.xml><?xml version="1.0" encoding="utf-8"?>
<ds:datastoreItem xmlns:ds="http://schemas.openxmlformats.org/officeDocument/2006/customXml" ds:itemID="{4EF90DE6-88B6-4264-9629-4D8DFDFE87D2}">
  <ds:schemaRefs/>
</ds:datastoreItem>
</file>

<file path=customXml/itemProps8.xml><?xml version="1.0" encoding="utf-8"?>
<ds:datastoreItem xmlns:ds="http://schemas.openxmlformats.org/officeDocument/2006/customXml" ds:itemID="{DB68AA56-3A7B-440F-A6CE-A855BC89A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13591</Words>
  <Characters>77470</Characters>
  <Application>Microsoft Office Word</Application>
  <DocSecurity>0</DocSecurity>
  <PresentationFormat>Microsoft Word 14.0</PresentationFormat>
  <Lines>645</Lines>
  <Paragraphs>181</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90880</CharactersWithSpaces>
  <SharedDoc>false</SharedDoc>
  <HLinks>
    <vt:vector size="288" baseType="variant">
      <vt:variant>
        <vt:i4>5439514</vt:i4>
      </vt:variant>
      <vt:variant>
        <vt:i4>132</vt:i4>
      </vt:variant>
      <vt:variant>
        <vt:i4>0</vt:i4>
      </vt:variant>
      <vt:variant>
        <vt:i4>5</vt:i4>
      </vt:variant>
      <vt:variant>
        <vt:lpwstr>https://verfassungsblog.de/hungary-judges-leak-list/</vt:lpwstr>
      </vt:variant>
      <vt:variant>
        <vt:lpwstr/>
      </vt:variant>
      <vt:variant>
        <vt:i4>6225925</vt:i4>
      </vt:variant>
      <vt:variant>
        <vt:i4>129</vt:i4>
      </vt:variant>
      <vt:variant>
        <vt:i4>0</vt:i4>
      </vt:variant>
      <vt:variant>
        <vt:i4>5</vt:i4>
      </vt:variant>
      <vt:variant>
        <vt:lpwstr>https://www.venice.coe.int/webforms/documents/default.aspx?pdffile=CDL-AD(2025)028-e</vt:lpwstr>
      </vt:variant>
      <vt:variant>
        <vt:lpwstr/>
      </vt:variant>
      <vt:variant>
        <vt:i4>5505027</vt:i4>
      </vt:variant>
      <vt:variant>
        <vt:i4>126</vt:i4>
      </vt:variant>
      <vt:variant>
        <vt:i4>0</vt:i4>
      </vt:variant>
      <vt:variant>
        <vt:i4>5</vt:i4>
      </vt:variant>
      <vt:variant>
        <vt:lpwstr>https://www.venice.coe.int/webforms/documents/default.aspx?pdffile=CDL-AD(2025)043-e</vt:lpwstr>
      </vt:variant>
      <vt:variant>
        <vt:lpwstr/>
      </vt:variant>
      <vt:variant>
        <vt:i4>2097227</vt:i4>
      </vt:variant>
      <vt:variant>
        <vt:i4>123</vt:i4>
      </vt:variant>
      <vt:variant>
        <vt:i4>0</vt:i4>
      </vt:variant>
      <vt:variant>
        <vt:i4>5</vt:i4>
      </vt:variant>
      <vt:variant>
        <vt:lpwstr>https://transparency.hu/wp-content/uploads/2025/03/tenderbajnok_web_elemzes_final.pdf</vt:lpwstr>
      </vt:variant>
      <vt:variant>
        <vt:lpwstr/>
      </vt:variant>
      <vt:variant>
        <vt:i4>4194371</vt:i4>
      </vt:variant>
      <vt:variant>
        <vt:i4>120</vt:i4>
      </vt:variant>
      <vt:variant>
        <vt:i4>0</vt:i4>
      </vt:variant>
      <vt:variant>
        <vt:i4>5</vt:i4>
      </vt:variant>
      <vt:variant>
        <vt:lpwstr>https://transparency.hu/wp-content/uploads/2025/12/Ti-Hu_public_funds_and_private_profits_web-1.pdf</vt:lpwstr>
      </vt:variant>
      <vt:variant>
        <vt:lpwstr/>
      </vt:variant>
      <vt:variant>
        <vt:i4>8192118</vt:i4>
      </vt:variant>
      <vt:variant>
        <vt:i4>117</vt:i4>
      </vt:variant>
      <vt:variant>
        <vt:i4>0</vt:i4>
      </vt:variant>
      <vt:variant>
        <vt:i4>5</vt:i4>
      </vt:variant>
      <vt:variant>
        <vt:lpwstr>https://telex.hu/belfold/2025/10/22/korozteti-a-buntetes-vegrehajtas-terezvaros-volt-szocialista-alpolgarmesteret-akit-letoltendo-bortonre-iteltek</vt:lpwstr>
      </vt:variant>
      <vt:variant>
        <vt:lpwstr/>
      </vt:variant>
      <vt:variant>
        <vt:i4>1114207</vt:i4>
      </vt:variant>
      <vt:variant>
        <vt:i4>114</vt:i4>
      </vt:variant>
      <vt:variant>
        <vt:i4>0</vt:i4>
      </vt:variant>
      <vt:variant>
        <vt:i4>5</vt:i4>
      </vt:variant>
      <vt:variant>
        <vt:lpwstr>https://qubit.hu/2025/11/17/egyik-naprol-a-masikratitokban-eltuntettek-12-ev-leleplezo-erteku-dokumentumait-az-ombudsmani-hivatal-honlapjarol</vt:lpwstr>
      </vt:variant>
      <vt:variant>
        <vt:lpwstr/>
      </vt:variant>
      <vt:variant>
        <vt:i4>6553639</vt:i4>
      </vt:variant>
      <vt:variant>
        <vt:i4>111</vt:i4>
      </vt:variant>
      <vt:variant>
        <vt:i4>0</vt:i4>
      </vt:variant>
      <vt:variant>
        <vt:i4>5</vt:i4>
      </vt:variant>
      <vt:variant>
        <vt:lpwstr>https://ugyeszseg.hu/en/indictment-filed-against-the-president-of-the-integrity-authority/</vt:lpwstr>
      </vt:variant>
      <vt:variant>
        <vt:lpwstr/>
      </vt:variant>
      <vt:variant>
        <vt:i4>4391002</vt:i4>
      </vt:variant>
      <vt:variant>
        <vt:i4>108</vt:i4>
      </vt:variant>
      <vt:variant>
        <vt:i4>0</vt:i4>
      </vt:variant>
      <vt:variant>
        <vt:i4>5</vt:i4>
      </vt:variant>
      <vt:variant>
        <vt:lpwstr>https://www.ajbh.hu/en/-/2670755-298</vt:lpwstr>
      </vt:variant>
      <vt:variant>
        <vt:lpwstr/>
      </vt:variant>
      <vt:variant>
        <vt:i4>3014753</vt:i4>
      </vt:variant>
      <vt:variant>
        <vt:i4>105</vt:i4>
      </vt:variant>
      <vt:variant>
        <vt:i4>0</vt:i4>
      </vt:variant>
      <vt:variant>
        <vt:i4>5</vt:i4>
      </vt:variant>
      <vt:variant>
        <vt:lpwstr>https://www.oecd.org/en/publications/anti-corruption-and-integrity-outlook-2026_0c8910f8-en/hungary_c2686ea4-en.html</vt:lpwstr>
      </vt:variant>
      <vt:variant>
        <vt:lpwstr>section-d1e295</vt:lpwstr>
      </vt:variant>
      <vt:variant>
        <vt:i4>2359361</vt:i4>
      </vt:variant>
      <vt:variant>
        <vt:i4>102</vt:i4>
      </vt:variant>
      <vt:variant>
        <vt:i4>0</vt:i4>
      </vt:variant>
      <vt:variant>
        <vt:i4>5</vt:i4>
      </vt:variant>
      <vt:variant>
        <vt:lpwstr>https://obt-jud.hu/sites/default/files/ulesek/Jegyzokonyv_2026.01.14.pdf</vt:lpwstr>
      </vt:variant>
      <vt:variant>
        <vt:lpwstr/>
      </vt:variant>
      <vt:variant>
        <vt:i4>2359363</vt:i4>
      </vt:variant>
      <vt:variant>
        <vt:i4>99</vt:i4>
      </vt:variant>
      <vt:variant>
        <vt:i4>0</vt:i4>
      </vt:variant>
      <vt:variant>
        <vt:i4>5</vt:i4>
      </vt:variant>
      <vt:variant>
        <vt:lpwstr>https://obt-jud.hu/sites/default/files/ulesek/Jegyzokonyv_2026.02.04.pdf</vt:lpwstr>
      </vt:variant>
      <vt:variant>
        <vt:lpwstr/>
      </vt:variant>
      <vt:variant>
        <vt:i4>2162755</vt:i4>
      </vt:variant>
      <vt:variant>
        <vt:i4>96</vt:i4>
      </vt:variant>
      <vt:variant>
        <vt:i4>0</vt:i4>
      </vt:variant>
      <vt:variant>
        <vt:i4>5</vt:i4>
      </vt:variant>
      <vt:variant>
        <vt:lpwstr>https://obt-jud.hu/sites/default/files/ulesek/Jegyzokonyv_2025.12.03.pdf</vt:lpwstr>
      </vt:variant>
      <vt:variant>
        <vt:lpwstr/>
      </vt:variant>
      <vt:variant>
        <vt:i4>1179737</vt:i4>
      </vt:variant>
      <vt:variant>
        <vt:i4>93</vt:i4>
      </vt:variant>
      <vt:variant>
        <vt:i4>0</vt:i4>
      </vt:variant>
      <vt:variant>
        <vt:i4>5</vt:i4>
      </vt:variant>
      <vt:variant>
        <vt:lpwstr>https://kuria-birosag.hu/hu/sajto/kuria-elnokenek-kozlemenye-frissitettuk</vt:lpwstr>
      </vt:variant>
      <vt:variant>
        <vt:lpwstr/>
      </vt:variant>
      <vt:variant>
        <vt:i4>262213</vt:i4>
      </vt:variant>
      <vt:variant>
        <vt:i4>90</vt:i4>
      </vt:variant>
      <vt:variant>
        <vt:i4>0</vt:i4>
      </vt:variant>
      <vt:variant>
        <vt:i4>5</vt:i4>
      </vt:variant>
      <vt:variant>
        <vt:lpwstr>https://kuria-birosag.hu/hu/sajto/kuria-kozlemenye-17</vt:lpwstr>
      </vt:variant>
      <vt:variant>
        <vt:lpwstr/>
      </vt:variant>
      <vt:variant>
        <vt:i4>262213</vt:i4>
      </vt:variant>
      <vt:variant>
        <vt:i4>87</vt:i4>
      </vt:variant>
      <vt:variant>
        <vt:i4>0</vt:i4>
      </vt:variant>
      <vt:variant>
        <vt:i4>5</vt:i4>
      </vt:variant>
      <vt:variant>
        <vt:lpwstr>https://kuria-birosag.hu/hu/sajto/kuria-kozlemenye-19</vt:lpwstr>
      </vt:variant>
      <vt:variant>
        <vt:lpwstr/>
      </vt:variant>
      <vt:variant>
        <vt:i4>7929885</vt:i4>
      </vt:variant>
      <vt:variant>
        <vt:i4>84</vt:i4>
      </vt:variant>
      <vt:variant>
        <vt:i4>0</vt:i4>
      </vt:variant>
      <vt:variant>
        <vt:i4>5</vt:i4>
      </vt:variant>
      <vt:variant>
        <vt:lpwstr>https://k.blog.hu/2025/08/22/polt_peter_a_buntethetetlen_trukkozessel_lehetetlenitette_el_az_ugyeszseg_a_felulbiralati_inditvanyu</vt:lpwstr>
      </vt:variant>
      <vt:variant>
        <vt:lpwstr/>
      </vt:variant>
      <vt:variant>
        <vt:i4>7602273</vt:i4>
      </vt:variant>
      <vt:variant>
        <vt:i4>81</vt:i4>
      </vt:variant>
      <vt:variant>
        <vt:i4>0</vt:i4>
      </vt:variant>
      <vt:variant>
        <vt:i4>5</vt:i4>
      </vt:variant>
      <vt:variant>
        <vt:lpwstr>https://integritashatosag.hu/wp-content/uploads/2026/06/Eves-elemzo-integritasjelentes-20250630.pdf</vt:lpwstr>
      </vt:variant>
      <vt:variant>
        <vt:lpwstr/>
      </vt:variant>
      <vt:variant>
        <vt:i4>4194320</vt:i4>
      </vt:variant>
      <vt:variant>
        <vt:i4>78</vt:i4>
      </vt:variant>
      <vt:variant>
        <vt:i4>0</vt:i4>
      </vt:variant>
      <vt:variant>
        <vt:i4>5</vt:i4>
      </vt:variant>
      <vt:variant>
        <vt:lpwstr>https://integritashatosag.hu/en/reports/</vt:lpwstr>
      </vt:variant>
      <vt:variant>
        <vt:lpwstr/>
      </vt:variant>
      <vt:variant>
        <vt:i4>4194320</vt:i4>
      </vt:variant>
      <vt:variant>
        <vt:i4>75</vt:i4>
      </vt:variant>
      <vt:variant>
        <vt:i4>0</vt:i4>
      </vt:variant>
      <vt:variant>
        <vt:i4>5</vt:i4>
      </vt:variant>
      <vt:variant>
        <vt:lpwstr>https://integritashatosag.hu/en/reports/</vt:lpwstr>
      </vt:variant>
      <vt:variant>
        <vt:lpwstr/>
      </vt:variant>
      <vt:variant>
        <vt:i4>4194320</vt:i4>
      </vt:variant>
      <vt:variant>
        <vt:i4>72</vt:i4>
      </vt:variant>
      <vt:variant>
        <vt:i4>0</vt:i4>
      </vt:variant>
      <vt:variant>
        <vt:i4>5</vt:i4>
      </vt:variant>
      <vt:variant>
        <vt:lpwstr>https://integritashatosag.hu/en/reports/</vt:lpwstr>
      </vt:variant>
      <vt:variant>
        <vt:lpwstr/>
      </vt:variant>
      <vt:variant>
        <vt:i4>1572918</vt:i4>
      </vt:variant>
      <vt:variant>
        <vt:i4>69</vt:i4>
      </vt:variant>
      <vt:variant>
        <vt:i4>0</vt:i4>
      </vt:variant>
      <vt:variant>
        <vt:i4>5</vt:i4>
      </vt:variant>
      <vt:variant>
        <vt:lpwstr>https://hvg.hu/360/20260224_tisza-applikacio-birono-regisztracio-politikai-tamadas</vt:lpwstr>
      </vt:variant>
      <vt:variant>
        <vt:lpwstr/>
      </vt:variant>
      <vt:variant>
        <vt:i4>2228292</vt:i4>
      </vt:variant>
      <vt:variant>
        <vt:i4>66</vt:i4>
      </vt:variant>
      <vt:variant>
        <vt:i4>0</vt:i4>
      </vt:variant>
      <vt:variant>
        <vt:i4>5</vt:i4>
      </vt:variant>
      <vt:variant>
        <vt:lpwstr>https://hvg.hu/itthon/20260130_lazar-janos-megszabaditana-a-tiszas-biroktol-az-igazsagszolgaltatast</vt:lpwstr>
      </vt:variant>
      <vt:variant>
        <vt:lpwstr/>
      </vt:variant>
      <vt:variant>
        <vt:i4>2621525</vt:i4>
      </vt:variant>
      <vt:variant>
        <vt:i4>63</vt:i4>
      </vt:variant>
      <vt:variant>
        <vt:i4>0</vt:i4>
      </vt:variant>
      <vt:variant>
        <vt:i4>5</vt:i4>
      </vt:variant>
      <vt:variant>
        <vt:lpwstr>https://hvg.hu/kkv/20251209_GVH-versenyjogi-torveny-epitoipari-cegek-feldarabolas</vt:lpwstr>
      </vt:variant>
      <vt:variant>
        <vt:lpwstr/>
      </vt:variant>
      <vt:variant>
        <vt:i4>3407891</vt:i4>
      </vt:variant>
      <vt:variant>
        <vt:i4>60</vt:i4>
      </vt:variant>
      <vt:variant>
        <vt:i4>0</vt:i4>
      </vt:variant>
      <vt:variant>
        <vt:i4>5</vt:i4>
      </vt:variant>
      <vt:variant>
        <vt:lpwstr>https://hvg.hu/kkv/20251119_GVH-Nitrogenmuvek-eljaras-Bige-Laszlo</vt:lpwstr>
      </vt:variant>
      <vt:variant>
        <vt:lpwstr/>
      </vt:variant>
      <vt:variant>
        <vt:i4>6094966</vt:i4>
      </vt:variant>
      <vt:variant>
        <vt:i4>57</vt:i4>
      </vt:variant>
      <vt:variant>
        <vt:i4>0</vt:i4>
      </vt:variant>
      <vt:variant>
        <vt:i4>5</vt:i4>
      </vt:variant>
      <vt:variant>
        <vt:lpwstr>https://hvg.hu/360/20250903_levelben-kert-segitseget-a-jegyzohiany-miatt-a-Fovarosi-Torvenyszek-elnoke</vt:lpwstr>
      </vt:variant>
      <vt:variant>
        <vt:lpwstr/>
      </vt:variant>
      <vt:variant>
        <vt:i4>1376294</vt:i4>
      </vt:variant>
      <vt:variant>
        <vt:i4>54</vt:i4>
      </vt:variant>
      <vt:variant>
        <vt:i4>0</vt:i4>
      </vt:variant>
      <vt:variant>
        <vt:i4>5</vt:i4>
      </vt:variant>
      <vt:variant>
        <vt:lpwstr>https://hvg.hu/360/20251016_hvg-dpk-alapitvany-Fovarosi-Torvenyszek-gyors-bejegyzes-51-perc-ugyfelerdek</vt:lpwstr>
      </vt:variant>
      <vt:variant>
        <vt:lpwstr/>
      </vt:variant>
      <vt:variant>
        <vt:i4>196637</vt:i4>
      </vt:variant>
      <vt:variant>
        <vt:i4>51</vt:i4>
      </vt:variant>
      <vt:variant>
        <vt:i4>0</vt:i4>
      </vt:variant>
      <vt:variant>
        <vt:i4>5</vt:i4>
      </vt:variant>
      <vt:variant>
        <vt:lpwstr>https://www.gvh.hu/pfile/file?path=/gvh/orszaggyulesi_beszamolok/gvh_ogy_pb_2024&amp;inline=true</vt:lpwstr>
      </vt:variant>
      <vt:variant>
        <vt:lpwstr/>
      </vt:variant>
      <vt:variant>
        <vt:i4>3276916</vt:i4>
      </vt:variant>
      <vt:variant>
        <vt:i4>48</vt:i4>
      </vt:variant>
      <vt:variant>
        <vt:i4>0</vt:i4>
      </vt:variant>
      <vt:variant>
        <vt:i4>5</vt:i4>
      </vt:variant>
      <vt:variant>
        <vt:lpwstr>https://rm.coe.int/fourth-evaluation-round-corruption-prevention-in-respect-of-membersof/1680ab87f1</vt:lpwstr>
      </vt:variant>
      <vt:variant>
        <vt:lpwstr/>
      </vt:variant>
      <vt:variant>
        <vt:i4>2359356</vt:i4>
      </vt:variant>
      <vt:variant>
        <vt:i4>45</vt:i4>
      </vt:variant>
      <vt:variant>
        <vt:i4>0</vt:i4>
      </vt:variant>
      <vt:variant>
        <vt:i4>5</vt:i4>
      </vt:variant>
      <vt:variant>
        <vt:lpwstr>https://rm.coe.int/fifth-evaluation-round-preventingcorruption-and-promoting-integrity-i/1680ab87f5</vt:lpwstr>
      </vt:variant>
      <vt:variant>
        <vt:lpwstr/>
      </vt:variant>
      <vt:variant>
        <vt:i4>3997735</vt:i4>
      </vt:variant>
      <vt:variant>
        <vt:i4>42</vt:i4>
      </vt:variant>
      <vt:variant>
        <vt:i4>0</vt:i4>
      </vt:variant>
      <vt:variant>
        <vt:i4>5</vt:i4>
      </vt:variant>
      <vt:variant>
        <vt:lpwstr>https://rm.coe.int/fourth-evaluation-round-corruption-prevention-in-respect-of-membersof/1680a7f171</vt:lpwstr>
      </vt:variant>
      <vt:variant>
        <vt:lpwstr/>
      </vt:variant>
      <vt:variant>
        <vt:i4>3670054</vt:i4>
      </vt:variant>
      <vt:variant>
        <vt:i4>39</vt:i4>
      </vt:variant>
      <vt:variant>
        <vt:i4>0</vt:i4>
      </vt:variant>
      <vt:variant>
        <vt:i4>5</vt:i4>
      </vt:variant>
      <vt:variant>
        <vt:lpwstr>https://rm.coe.int/third-evaluation-round-second-addendum-to-the-second-compliancereport/168096947e</vt:lpwstr>
      </vt:variant>
      <vt:variant>
        <vt:lpwstr/>
      </vt:variant>
      <vt:variant>
        <vt:i4>1048662</vt:i4>
      </vt:variant>
      <vt:variant>
        <vt:i4>36</vt:i4>
      </vt:variant>
      <vt:variant>
        <vt:i4>0</vt:i4>
      </vt:variant>
      <vt:variant>
        <vt:i4>5</vt:i4>
      </vt:variant>
      <vt:variant>
        <vt:lpwstr>https://edmo.eu/publications/unstoppable-political-ads-anti-ukrainian-narratives-and-misleading-stats-in-the-hungarian-election-campaign/</vt:lpwstr>
      </vt:variant>
      <vt:variant>
        <vt:lpwstr/>
      </vt:variant>
      <vt:variant>
        <vt:i4>6619176</vt:i4>
      </vt:variant>
      <vt:variant>
        <vt:i4>33</vt:i4>
      </vt:variant>
      <vt:variant>
        <vt:i4>0</vt:i4>
      </vt:variant>
      <vt:variant>
        <vt:i4>5</vt:i4>
      </vt:variant>
      <vt:variant>
        <vt:lpwstr>https://www.parlament.hu/irom42/11125/11125.pdf</vt:lpwstr>
      </vt:variant>
      <vt:variant>
        <vt:lpwstr/>
      </vt:variant>
      <vt:variant>
        <vt:i4>4390989</vt:i4>
      </vt:variant>
      <vt:variant>
        <vt:i4>30</vt:i4>
      </vt:variant>
      <vt:variant>
        <vt:i4>0</vt:i4>
      </vt:variant>
      <vt:variant>
        <vt:i4>5</vt:i4>
      </vt:variant>
      <vt:variant>
        <vt:lpwstr>https://monitor.civicus.org/country/hungary/</vt:lpwstr>
      </vt:variant>
      <vt:variant>
        <vt:lpwstr/>
      </vt:variant>
      <vt:variant>
        <vt:i4>5832726</vt:i4>
      </vt:variant>
      <vt:variant>
        <vt:i4>27</vt:i4>
      </vt:variant>
      <vt:variant>
        <vt:i4>0</vt:i4>
      </vt:variant>
      <vt:variant>
        <vt:i4>5</vt:i4>
      </vt:variant>
      <vt:variant>
        <vt:lpwstr>https://cmpf.eui.eu/projects/media-pluralism-monitor/</vt:lpwstr>
      </vt:variant>
      <vt:variant>
        <vt:lpwstr/>
      </vt:variant>
      <vt:variant>
        <vt:i4>4849761</vt:i4>
      </vt:variant>
      <vt:variant>
        <vt:i4>24</vt:i4>
      </vt:variant>
      <vt:variant>
        <vt:i4>0</vt:i4>
      </vt:variant>
      <vt:variant>
        <vt:i4>5</vt:i4>
      </vt:variant>
      <vt:variant>
        <vt:lpwstr>https://www.kemcs.hu/wp-content/uploads/2026/03/KEMCS_2025_Eves_Jelentes.pdf</vt:lpwstr>
      </vt:variant>
      <vt:variant>
        <vt:lpwstr/>
      </vt:variant>
      <vt:variant>
        <vt:i4>8323106</vt:i4>
      </vt:variant>
      <vt:variant>
        <vt:i4>21</vt:i4>
      </vt:variant>
      <vt:variant>
        <vt:i4>0</vt:i4>
      </vt:variant>
      <vt:variant>
        <vt:i4>5</vt:i4>
      </vt:variant>
      <vt:variant>
        <vt:lpwstr>https://kemcs.hu/wp-content/uploads/2025/09/KEMCS_felulvizsgalat_jelentes.pdf</vt:lpwstr>
      </vt:variant>
      <vt:variant>
        <vt:lpwstr/>
      </vt:variant>
      <vt:variant>
        <vt:i4>5242911</vt:i4>
      </vt:variant>
      <vt:variant>
        <vt:i4>18</vt:i4>
      </vt:variant>
      <vt:variant>
        <vt:i4>0</vt:i4>
      </vt:variant>
      <vt:variant>
        <vt:i4>5</vt:i4>
      </vt:variant>
      <vt:variant>
        <vt:lpwstr>https://helsinki.hu/en/wp-content/uploads/sites/2/2026/01/HUN_CSO_contribution_EC_RoL_Report_2026.pdf</vt:lpwstr>
      </vt:variant>
      <vt:variant>
        <vt:lpwstr/>
      </vt:variant>
      <vt:variant>
        <vt:i4>1376320</vt:i4>
      </vt:variant>
      <vt:variant>
        <vt:i4>15</vt:i4>
      </vt:variant>
      <vt:variant>
        <vt:i4>0</vt:i4>
      </vt:variant>
      <vt:variant>
        <vt:i4>5</vt:i4>
      </vt:variant>
      <vt:variant>
        <vt:lpwstr>https://444.hu/2025/11/23/dontott-a-birosag-nem-ismerhetjuk-meg-a-csadi-misszio-elokeszitesehez-kotodo-szerzodeseket-mert-szijjarto-peter-velemenyet-a-birosag-nem-vizsgalhatja-felul</vt:lpwstr>
      </vt:variant>
      <vt:variant>
        <vt:lpwstr/>
      </vt:variant>
      <vt:variant>
        <vt:i4>5439572</vt:i4>
      </vt:variant>
      <vt:variant>
        <vt:i4>12</vt:i4>
      </vt:variant>
      <vt:variant>
        <vt:i4>0</vt:i4>
      </vt:variant>
      <vt:variant>
        <vt:i4>5</vt:i4>
      </vt:variant>
      <vt:variant>
        <vt:lpwstr>https://444.hu/2025/05/21/ujra-kinyilt-a-kormanyzati-penzcsap-ami-kozpenzt-ont-az-allamparthoz-kozel-allo-civil-szervezetekre</vt:lpwstr>
      </vt:variant>
      <vt:variant>
        <vt:lpwstr/>
      </vt:variant>
      <vt:variant>
        <vt:i4>6291560</vt:i4>
      </vt:variant>
      <vt:variant>
        <vt:i4>9</vt:i4>
      </vt:variant>
      <vt:variant>
        <vt:i4>0</vt:i4>
      </vt:variant>
      <vt:variant>
        <vt:i4>5</vt:i4>
      </vt:variant>
      <vt:variant>
        <vt:lpwstr>https://24.hu/belfold/2025/08/19/integritas-hatosag-biro-ferenc-hivatali-visszaeles-allami-szamvevoszek-ugyeszseg/</vt:lpwstr>
      </vt:variant>
      <vt:variant>
        <vt:lpwstr/>
      </vt:variant>
      <vt:variant>
        <vt:i4>4390999</vt:i4>
      </vt:variant>
      <vt:variant>
        <vt:i4>6</vt:i4>
      </vt:variant>
      <vt:variant>
        <vt:i4>0</vt:i4>
      </vt:variant>
      <vt:variant>
        <vt:i4>5</vt:i4>
      </vt:variant>
      <vt:variant>
        <vt:lpwstr>https://24.hu/fn/gazdasag/2025/11/19/homlok-zsolt-meszaros-lorinc-kegyvesztett-ex-veje-felszamolas-csodvedelem-megabirsag/</vt:lpwstr>
      </vt:variant>
      <vt:variant>
        <vt:lpwstr>paywall</vt:lpwstr>
      </vt:variant>
      <vt:variant>
        <vt:i4>3604522</vt:i4>
      </vt:variant>
      <vt:variant>
        <vt:i4>3</vt:i4>
      </vt:variant>
      <vt:variant>
        <vt:i4>0</vt:i4>
      </vt:variant>
      <vt:variant>
        <vt:i4>5</vt:i4>
      </vt:variant>
      <vt:variant>
        <vt:lpwstr>https://24.hu/belfold/2026/06/16/windisch-laszlo-asz-integritas-hatosag-felmentes-breking/</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4587524</vt:i4>
      </vt:variant>
      <vt:variant>
        <vt:i4>6</vt:i4>
      </vt:variant>
      <vt:variant>
        <vt:i4>0</vt:i4>
      </vt:variant>
      <vt:variant>
        <vt:i4>5</vt:i4>
      </vt:variant>
      <vt:variant>
        <vt:lpwstr>https://www.coe.int/en/web/execution/the-supervision-process</vt:lpwstr>
      </vt:variant>
      <vt:variant>
        <vt:lpwstr/>
      </vt:variant>
      <vt:variant>
        <vt:i4>7012388</vt:i4>
      </vt:variant>
      <vt:variant>
        <vt:i4>3</vt:i4>
      </vt:variant>
      <vt:variant>
        <vt:i4>0</vt:i4>
      </vt:variant>
      <vt:variant>
        <vt:i4>5</vt:i4>
      </vt:variant>
      <vt:variant>
        <vt:lpwstr>https://kozbeszerzes.hu/adatbazisok/kozerdeku-bejelentesek-nyilvantartasa/</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2026-07-12T12:10:00Z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2026-07-11T19:01:40Z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880ff8e5-6f66-4752-bb24-5376b817548a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CP-025</vt:lpwstr>
  </property>
  <property fmtid="{D5CDD505-2E9C-101B-9397-08002B2CF9AE}" pid="16" name="ContentTypeId">
    <vt:lpwstr>0x010100CD92FCBF67B53A4EB1060DF04C43C986</vt:lpwstr>
  </property>
</Properties>
</file>